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1"/>
        <w:tblpPr w:leftFromText="180" w:rightFromText="180" w:vertAnchor="text" w:horzAnchor="margin" w:tblpXSpec="center" w:tblpY="-3796"/>
        <w:tblW w:w="63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6"/>
      </w:tblGrid>
      <w:tr w:rsidR="00CC7315" w:rsidRPr="00AD104A" w:rsidTr="002051E9">
        <w:tc>
          <w:tcPr>
            <w:tcW w:w="5000" w:type="pct"/>
            <w:vAlign w:val="center"/>
          </w:tcPr>
          <w:p w:rsidR="00CC7315" w:rsidRPr="00AD104A" w:rsidRDefault="00CC7315" w:rsidP="002051E9">
            <w:pPr>
              <w:jc w:val="center"/>
            </w:pPr>
          </w:p>
          <w:p w:rsidR="00CC7315" w:rsidRPr="00AD104A" w:rsidRDefault="00CC7315" w:rsidP="002051E9">
            <w:pPr>
              <w:jc w:val="center"/>
            </w:pPr>
            <w:r w:rsidRPr="00AD104A">
              <w:rPr>
                <w:noProof/>
                <w:lang w:val="en-ZA" w:bidi="he-IL"/>
              </w:rPr>
              <w:drawing>
                <wp:anchor distT="0" distB="0" distL="114300" distR="114300" simplePos="0" relativeHeight="251659264" behindDoc="1" locked="0" layoutInCell="1" allowOverlap="1" wp14:anchorId="1FAD16DF" wp14:editId="4E533690">
                  <wp:simplePos x="0" y="0"/>
                  <wp:positionH relativeFrom="column">
                    <wp:posOffset>3025140</wp:posOffset>
                  </wp:positionH>
                  <wp:positionV relativeFrom="paragraph">
                    <wp:posOffset>74295</wp:posOffset>
                  </wp:positionV>
                  <wp:extent cx="2371725" cy="1152525"/>
                  <wp:effectExtent l="0" t="0" r="9525" b="9525"/>
                  <wp:wrapNone/>
                  <wp:docPr id="4" name="Picture 2" descr="Description: Description: http://www.unisa.ac.za/cmsys/staff/contents/resources/images/staff-online-UNISA-logo.gif">
                    <a:hlinkClick xmlns:a="http://schemas.openxmlformats.org/drawingml/2006/main" r:id="rId8" tgtFrame="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unisa.ac.za/cmsys/staff/contents/resources/images/staff-online-UNISA-logo.gif">
                            <a:hlinkClick r:id="rId8" tgtFrame="blank"/>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71725" cy="1152525"/>
                          </a:xfrm>
                          <a:prstGeom prst="rect">
                            <a:avLst/>
                          </a:prstGeom>
                          <a:noFill/>
                        </pic:spPr>
                      </pic:pic>
                    </a:graphicData>
                  </a:graphic>
                  <wp14:sizeRelH relativeFrom="page">
                    <wp14:pctWidth>0</wp14:pctWidth>
                  </wp14:sizeRelH>
                  <wp14:sizeRelV relativeFrom="page">
                    <wp14:pctHeight>0</wp14:pctHeight>
                  </wp14:sizeRelV>
                </wp:anchor>
              </w:drawing>
            </w:r>
          </w:p>
          <w:p w:rsidR="00CC7315" w:rsidRPr="00AD104A" w:rsidRDefault="00CC7315" w:rsidP="002051E9">
            <w:pPr>
              <w:jc w:val="center"/>
            </w:pPr>
          </w:p>
          <w:p w:rsidR="00CC7315" w:rsidRPr="00AD104A" w:rsidRDefault="00CC7315" w:rsidP="002051E9">
            <w:pPr>
              <w:jc w:val="center"/>
            </w:pPr>
          </w:p>
          <w:p w:rsidR="00CC7315" w:rsidRPr="00AD104A" w:rsidRDefault="00CC7315" w:rsidP="002051E9">
            <w:pPr>
              <w:jc w:val="center"/>
            </w:pPr>
          </w:p>
          <w:p w:rsidR="00CC7315" w:rsidRPr="00AD104A" w:rsidRDefault="00CC7315" w:rsidP="002051E9">
            <w:pPr>
              <w:jc w:val="center"/>
            </w:pPr>
          </w:p>
          <w:p w:rsidR="00CC7315" w:rsidRPr="00AD104A" w:rsidRDefault="00CC7315" w:rsidP="002051E9">
            <w:pPr>
              <w:jc w:val="center"/>
            </w:pPr>
          </w:p>
          <w:p w:rsidR="00CC7315" w:rsidRDefault="00CC7315" w:rsidP="002051E9">
            <w:pPr>
              <w:jc w:val="center"/>
            </w:pPr>
          </w:p>
          <w:p w:rsidR="00CC7315" w:rsidRDefault="00CC7315" w:rsidP="002051E9">
            <w:pPr>
              <w:jc w:val="center"/>
              <w:rPr>
                <w:rFonts w:ascii="Times New Roman" w:hAnsi="Times New Roman"/>
                <w:bCs/>
                <w:sz w:val="44"/>
                <w:szCs w:val="44"/>
                <w:lang w:eastAsia="en-ZW"/>
              </w:rPr>
            </w:pPr>
            <w:r>
              <w:rPr>
                <w:noProof/>
                <w:lang w:val="en-ZA" w:bidi="he-IL"/>
              </w:rPr>
              <mc:AlternateContent>
                <mc:Choice Requires="wps">
                  <w:drawing>
                    <wp:anchor distT="0" distB="0" distL="114300" distR="114300" simplePos="0" relativeHeight="251660288" behindDoc="0" locked="0" layoutInCell="1" allowOverlap="1" wp14:anchorId="69610C13" wp14:editId="4B1925F8">
                      <wp:simplePos x="0" y="0"/>
                      <wp:positionH relativeFrom="column">
                        <wp:posOffset>1586865</wp:posOffset>
                      </wp:positionH>
                      <wp:positionV relativeFrom="paragraph">
                        <wp:posOffset>34925</wp:posOffset>
                      </wp:positionV>
                      <wp:extent cx="5088255" cy="790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088255" cy="790575"/>
                              </a:xfrm>
                              <a:prstGeom prst="rect">
                                <a:avLst/>
                              </a:prstGeom>
                              <a:solidFill>
                                <a:sysClr val="window" lastClr="FFFFFF"/>
                              </a:solidFill>
                              <a:ln w="6350">
                                <a:noFill/>
                              </a:ln>
                              <a:effectLst/>
                            </wps:spPr>
                            <wps:txbx>
                              <w:txbxContent>
                                <w:p w:rsidR="00CC7315" w:rsidRDefault="00CC7315" w:rsidP="00CC7315">
                                  <w:pPr>
                                    <w:jc w:val="center"/>
                                  </w:pPr>
                                  <w:r w:rsidRPr="002E2A5B">
                                    <w:rPr>
                                      <w:rFonts w:ascii="Times New Roman" w:hAnsi="Times New Roman"/>
                                      <w:bCs/>
                                      <w:sz w:val="44"/>
                                      <w:szCs w:val="44"/>
                                      <w:lang w:eastAsia="en-ZW"/>
                                    </w:rPr>
                                    <w:t>UNISA ECONOMIC RESEARCH WORKING PAPER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4.95pt;margin-top:2.75pt;width:400.6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T/UAIAAJgEAAAOAAAAZHJzL2Uyb0RvYy54bWysVE2P2jAQvVfqf7B8LwkpWdiIsKKsqCqh&#10;3ZWg2rNxHBLJ8bi2IaG/vmMnsHTbU1UOZr4843nzJvOHrpHkJIytQeV0PIopEYpDUatDTr/v1p9m&#10;lFjHVMEkKJHTs7D0YfHxw7zVmUigAlkIQzCJslmrc1o5p7MosrwSDbMj0EKhswTTMIeqOUSFYS1m&#10;b2SUxPFd1IIptAEurEXrY++ki5C/LAV3z2VphSMyp/g2F04Tzr0/o8WcZQfDdFXz4RnsH17RsFph&#10;0WuqR+YYOZr6j1RNzQ1YKN2IQxNBWdZchB6wm3H8rpttxbQIvSA4Vl9hsv8vLX86vRhSFzlNKFGs&#10;wRHtROfIF+hI4tFptc0waKsxzHVoxilf7BaNvumuNI3/x3YI+hHn8xVbn4yjMY1nsyRNKeHom97H&#10;6TT1aaK329pY91VAQ7yQU4OzC5Cy08a6PvQS4otZkHWxrqUMytmupCEnhmNGdhTQUiKZdWjM6Tr8&#10;hmq/XZOKtDm9+5zGoZICn68vJZXPKwKFhvoeir5lL7lu3w347KE4IzwGenpZzdc19rDBB7wwg3xC&#10;RHBH3DMepQQsCYNESQXm59/sPh7HjF5KWuRnTu2PIzMC+/qmkAD348nEEzook3SaoGJuPftbjzo2&#10;K0BsxriNmgfRxzt5EUsDzSuu0tJXRRdTHGvn1F3Eleu3BleRi+UyBCGFNXMbtdXcp/aA+Qntuldm&#10;9DBGhwR4gguTWfZumn2sv6lgeXRQ1mHUHuAeVaSIV5D+gSzDqvr9utVD1NsHZfELAAD//wMAUEsD&#10;BBQABgAIAAAAIQCbRLAT4gAAAAoBAAAPAAAAZHJzL2Rvd25yZXYueG1sTI/BTsMwEETvSPyDtUjc&#10;qN1AEA1xKoRAUKlRISBxdeMlCcTryHab0K/HPcFtVjOaeZsvJ9OzPTrfWZIwnwlgSLXVHTUS3t8e&#10;L26A+aBIq94SSvhBD8vi9CRXmbYjveK+Cg2LJeQzJaENYcg493WLRvmZHZCi92mdUSGeruHaqTGW&#10;m54nQlxzozqKC60a8L7F+rvaGQkfY/XkNqvV18vwXB42h6pc40Mp5fnZdHcLLOAU/sJwxI/oUESm&#10;rd2R9qyXkFwtFjEqIU2BHX2RzhNg26guhQBe5Pz/C8UvAAAA//8DAFBLAQItABQABgAIAAAAIQC2&#10;gziS/gAAAOEBAAATAAAAAAAAAAAAAAAAAAAAAABbQ29udGVudF9UeXBlc10ueG1sUEsBAi0AFAAG&#10;AAgAAAAhADj9If/WAAAAlAEAAAsAAAAAAAAAAAAAAAAALwEAAF9yZWxzLy5yZWxzUEsBAi0AFAAG&#10;AAgAAAAhAKNHRP9QAgAAmAQAAA4AAAAAAAAAAAAAAAAALgIAAGRycy9lMm9Eb2MueG1sUEsBAi0A&#10;FAAGAAgAAAAhAJtEsBPiAAAACgEAAA8AAAAAAAAAAAAAAAAAqgQAAGRycy9kb3ducmV2LnhtbFBL&#10;BQYAAAAABAAEAPMAAAC5BQAAAAA=&#10;" fillcolor="window" stroked="f" strokeweight=".5pt">
                      <v:textbox>
                        <w:txbxContent>
                          <w:p w:rsidR="00CC7315" w:rsidRDefault="00CC7315" w:rsidP="00CC7315">
                            <w:pPr>
                              <w:jc w:val="center"/>
                            </w:pPr>
                            <w:r w:rsidRPr="002E2A5B">
                              <w:rPr>
                                <w:rFonts w:ascii="Times New Roman" w:hAnsi="Times New Roman"/>
                                <w:bCs/>
                                <w:sz w:val="44"/>
                                <w:szCs w:val="44"/>
                                <w:lang w:eastAsia="en-ZW"/>
                              </w:rPr>
                              <w:t>UNISA ECONOMIC RESEARCH WORKING PAPER SERIES</w:t>
                            </w:r>
                          </w:p>
                        </w:txbxContent>
                      </v:textbox>
                    </v:shape>
                  </w:pict>
                </mc:Fallback>
              </mc:AlternateContent>
            </w:r>
          </w:p>
          <w:p w:rsidR="00CC7315" w:rsidRDefault="00CC7315" w:rsidP="002051E9">
            <w:pPr>
              <w:jc w:val="center"/>
              <w:rPr>
                <w:rFonts w:ascii="Times New Roman" w:hAnsi="Times New Roman"/>
                <w:bCs/>
                <w:sz w:val="44"/>
                <w:szCs w:val="44"/>
                <w:lang w:eastAsia="en-ZW"/>
              </w:rPr>
            </w:pPr>
          </w:p>
          <w:p w:rsidR="00CC7315" w:rsidRDefault="00CC7315" w:rsidP="002051E9">
            <w:pPr>
              <w:jc w:val="center"/>
              <w:rPr>
                <w:rFonts w:ascii="Times New Roman" w:hAnsi="Times New Roman"/>
                <w:bCs/>
                <w:sz w:val="44"/>
                <w:szCs w:val="44"/>
                <w:lang w:eastAsia="en-ZW"/>
              </w:rPr>
            </w:pPr>
          </w:p>
          <w:p w:rsidR="00CC7315" w:rsidRPr="00AD104A" w:rsidRDefault="00CC7315" w:rsidP="002051E9">
            <w:pPr>
              <w:jc w:val="center"/>
            </w:pPr>
          </w:p>
        </w:tc>
      </w:tr>
      <w:tr w:rsidR="00CC7315" w:rsidRPr="00AD104A" w:rsidTr="002051E9">
        <w:tc>
          <w:tcPr>
            <w:tcW w:w="5000" w:type="pct"/>
            <w:shd w:val="clear" w:color="auto" w:fill="002060"/>
          </w:tcPr>
          <w:p w:rsidR="00CC7315" w:rsidRPr="00AD104A" w:rsidRDefault="00CC7315" w:rsidP="002051E9"/>
        </w:tc>
      </w:tr>
    </w:tbl>
    <w:p w:rsidR="00CC7315" w:rsidRPr="00AD104A" w:rsidRDefault="00CC7315" w:rsidP="00CC7315">
      <w:pPr>
        <w:spacing w:after="0" w:line="240" w:lineRule="auto"/>
        <w:jc w:val="center"/>
      </w:pPr>
    </w:p>
    <w:p w:rsidR="00CC7315" w:rsidRPr="00D2427C" w:rsidRDefault="00EE1D63" w:rsidP="00CC7315">
      <w:pPr>
        <w:spacing w:after="0" w:line="240" w:lineRule="auto"/>
        <w:jc w:val="center"/>
        <w:rPr>
          <w:rFonts w:ascii="Times New Roman" w:hAnsi="Times New Roman"/>
          <w:b/>
          <w:bCs/>
          <w:sz w:val="24"/>
          <w:szCs w:val="24"/>
          <w:lang w:eastAsia="en-ZW"/>
        </w:rPr>
      </w:pPr>
      <w:bookmarkStart w:id="0" w:name="_GoBack"/>
      <w:r w:rsidRPr="00EE1D63">
        <w:rPr>
          <w:rFonts w:ascii="Times New Roman" w:eastAsia="Times New Roman" w:hAnsi="Times New Roman"/>
          <w:b/>
          <w:bCs/>
          <w:sz w:val="24"/>
          <w:szCs w:val="24"/>
          <w:lang w:val="en-US" w:eastAsia="en-ZW"/>
        </w:rPr>
        <w:t>MODELLING LONG-RUN EQUILIBRIUM EXCHANGE RATE IN BOTSWANA</w:t>
      </w:r>
    </w:p>
    <w:bookmarkEnd w:id="0"/>
    <w:p w:rsidR="00CC7315" w:rsidRPr="00AD104A" w:rsidRDefault="00CC7315" w:rsidP="00CC7315"/>
    <w:p w:rsidR="00CC7315" w:rsidRPr="00F964F8" w:rsidRDefault="00CC7315" w:rsidP="00CC7315">
      <w:pPr>
        <w:tabs>
          <w:tab w:val="left" w:pos="2880"/>
        </w:tabs>
        <w:spacing w:line="240" w:lineRule="auto"/>
        <w:jc w:val="center"/>
        <w:rPr>
          <w:rFonts w:ascii="Times New Roman" w:hAnsi="Times New Roman"/>
        </w:rPr>
      </w:pPr>
      <w:r w:rsidRPr="00F964F8">
        <w:rPr>
          <w:rFonts w:ascii="Times New Roman" w:hAnsi="Times New Roman"/>
        </w:rPr>
        <w:t>Bernard Njindan Iyke</w:t>
      </w:r>
    </w:p>
    <w:p w:rsidR="00CC7315" w:rsidRPr="00AD104A" w:rsidRDefault="00CC7315" w:rsidP="00CC7315">
      <w:pPr>
        <w:tabs>
          <w:tab w:val="left" w:pos="2880"/>
        </w:tabs>
        <w:spacing w:line="240" w:lineRule="auto"/>
        <w:jc w:val="center"/>
        <w:rPr>
          <w:rFonts w:ascii="Times New Roman" w:hAnsi="Times New Roman"/>
        </w:rPr>
      </w:pPr>
      <w:r w:rsidRPr="00AD104A">
        <w:rPr>
          <w:rFonts w:ascii="Times New Roman" w:hAnsi="Times New Roman"/>
        </w:rPr>
        <w:t>Nicholas M. Odhiambo</w:t>
      </w:r>
    </w:p>
    <w:p w:rsidR="00CC7315" w:rsidRPr="00AD104A" w:rsidRDefault="00CC7315" w:rsidP="00CC7315">
      <w:pPr>
        <w:tabs>
          <w:tab w:val="left" w:pos="2880"/>
        </w:tabs>
        <w:jc w:val="center"/>
        <w:rPr>
          <w:rFonts w:ascii="Times New Roman" w:hAnsi="Times New Roman"/>
        </w:rPr>
      </w:pPr>
    </w:p>
    <w:p w:rsidR="00CC7315" w:rsidRPr="002158E8" w:rsidRDefault="00CC7315" w:rsidP="00CC7315">
      <w:pPr>
        <w:tabs>
          <w:tab w:val="left" w:pos="2880"/>
        </w:tabs>
        <w:spacing w:line="240" w:lineRule="auto"/>
        <w:jc w:val="center"/>
        <w:rPr>
          <w:rFonts w:ascii="Times New Roman" w:hAnsi="Times New Roman"/>
        </w:rPr>
      </w:pPr>
      <w:r>
        <w:rPr>
          <w:rFonts w:ascii="Times New Roman" w:hAnsi="Times New Roman"/>
        </w:rPr>
        <w:t>Working Paper 06</w:t>
      </w:r>
      <w:r w:rsidRPr="002158E8">
        <w:rPr>
          <w:rFonts w:ascii="Times New Roman" w:hAnsi="Times New Roman"/>
        </w:rPr>
        <w:t>/2015</w:t>
      </w:r>
    </w:p>
    <w:p w:rsidR="00CC7315" w:rsidRPr="00AD104A" w:rsidRDefault="00CC7315" w:rsidP="00CC7315">
      <w:pPr>
        <w:tabs>
          <w:tab w:val="left" w:pos="2880"/>
        </w:tabs>
        <w:spacing w:line="240" w:lineRule="auto"/>
        <w:jc w:val="center"/>
        <w:rPr>
          <w:rFonts w:ascii="Times New Roman" w:hAnsi="Times New Roman"/>
        </w:rPr>
      </w:pPr>
      <w:r>
        <w:rPr>
          <w:rFonts w:ascii="Times New Roman" w:hAnsi="Times New Roman"/>
        </w:rPr>
        <w:t>August</w:t>
      </w:r>
      <w:r w:rsidRPr="00AD104A">
        <w:rPr>
          <w:rFonts w:ascii="Times New Roman" w:hAnsi="Times New Roman"/>
        </w:rPr>
        <w:t xml:space="preserve"> 2015</w:t>
      </w:r>
    </w:p>
    <w:p w:rsidR="00CC7315" w:rsidRPr="00AD104A" w:rsidRDefault="00CC7315" w:rsidP="00CC7315">
      <w:pPr>
        <w:tabs>
          <w:tab w:val="left" w:pos="2880"/>
        </w:tabs>
        <w:rPr>
          <w:rFonts w:ascii="Times New Roman" w:hAnsi="Times New Roman"/>
        </w:rPr>
      </w:pPr>
    </w:p>
    <w:tbl>
      <w:tblPr>
        <w:tblStyle w:val="TableGrid12"/>
        <w:tblW w:w="4689"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20"/>
      </w:tblGrid>
      <w:tr w:rsidR="00CC7315" w:rsidRPr="00AD104A" w:rsidTr="002051E9">
        <w:trPr>
          <w:trHeight w:val="2307"/>
        </w:trPr>
        <w:tc>
          <w:tcPr>
            <w:tcW w:w="2500" w:type="pct"/>
          </w:tcPr>
          <w:p w:rsidR="00CC7315" w:rsidRPr="00AD104A" w:rsidRDefault="00CC7315" w:rsidP="002051E9">
            <w:pPr>
              <w:rPr>
                <w:rFonts w:ascii="Times New Roman" w:hAnsi="Times New Roman"/>
                <w:sz w:val="24"/>
                <w:szCs w:val="24"/>
                <w:lang w:eastAsia="en-GB"/>
              </w:rPr>
            </w:pPr>
            <w:r>
              <w:rPr>
                <w:rFonts w:ascii="Times New Roman" w:hAnsi="Times New Roman"/>
                <w:sz w:val="24"/>
                <w:szCs w:val="24"/>
                <w:lang w:eastAsia="en-GB"/>
              </w:rPr>
              <w:t>Bernard Njindan Iyke</w:t>
            </w:r>
          </w:p>
          <w:p w:rsidR="00CC7315" w:rsidRPr="00AD104A" w:rsidRDefault="00CC7315" w:rsidP="002051E9">
            <w:pPr>
              <w:rPr>
                <w:rFonts w:ascii="Times New Roman" w:hAnsi="Times New Roman"/>
                <w:sz w:val="24"/>
                <w:szCs w:val="24"/>
                <w:lang w:eastAsia="en-GB"/>
              </w:rPr>
            </w:pPr>
            <w:r w:rsidRPr="00AD104A">
              <w:rPr>
                <w:rFonts w:ascii="Times New Roman" w:hAnsi="Times New Roman"/>
                <w:sz w:val="24"/>
                <w:szCs w:val="24"/>
                <w:lang w:eastAsia="en-GB"/>
              </w:rPr>
              <w:t>Department of Economics</w:t>
            </w:r>
          </w:p>
          <w:p w:rsidR="00CC7315" w:rsidRPr="00AD104A" w:rsidRDefault="00CC7315" w:rsidP="002051E9">
            <w:pPr>
              <w:rPr>
                <w:rFonts w:ascii="Times New Roman" w:hAnsi="Times New Roman"/>
                <w:sz w:val="24"/>
                <w:szCs w:val="24"/>
                <w:lang w:eastAsia="en-GB"/>
              </w:rPr>
            </w:pPr>
            <w:r w:rsidRPr="00AD104A">
              <w:rPr>
                <w:rFonts w:ascii="Times New Roman" w:hAnsi="Times New Roman"/>
                <w:sz w:val="24"/>
                <w:szCs w:val="24"/>
                <w:lang w:eastAsia="en-GB"/>
              </w:rPr>
              <w:t>University of South Africa</w:t>
            </w:r>
          </w:p>
          <w:p w:rsidR="00CC7315" w:rsidRPr="003F3CA6" w:rsidRDefault="00CC7315" w:rsidP="002051E9">
            <w:pPr>
              <w:rPr>
                <w:rFonts w:ascii="Times New Roman" w:hAnsi="Times New Roman"/>
                <w:sz w:val="24"/>
                <w:szCs w:val="24"/>
                <w:lang w:val="en-US" w:eastAsia="en-GB"/>
              </w:rPr>
            </w:pPr>
            <w:r w:rsidRPr="003F3CA6">
              <w:rPr>
                <w:rFonts w:ascii="Times New Roman" w:hAnsi="Times New Roman"/>
                <w:sz w:val="24"/>
                <w:szCs w:val="24"/>
                <w:lang w:val="en-US" w:eastAsia="en-GB"/>
              </w:rPr>
              <w:t>P.</w:t>
            </w:r>
            <w:r>
              <w:rPr>
                <w:rFonts w:ascii="Times New Roman" w:hAnsi="Times New Roman"/>
                <w:sz w:val="24"/>
                <w:szCs w:val="24"/>
                <w:lang w:val="en-US" w:eastAsia="en-GB"/>
              </w:rPr>
              <w:t xml:space="preserve"> </w:t>
            </w:r>
            <w:r w:rsidRPr="003F3CA6">
              <w:rPr>
                <w:rFonts w:ascii="Times New Roman" w:hAnsi="Times New Roman"/>
                <w:sz w:val="24"/>
                <w:szCs w:val="24"/>
                <w:lang w:val="en-US" w:eastAsia="en-GB"/>
              </w:rPr>
              <w:t>O</w:t>
            </w:r>
            <w:r>
              <w:rPr>
                <w:rFonts w:ascii="Times New Roman" w:hAnsi="Times New Roman"/>
                <w:sz w:val="24"/>
                <w:szCs w:val="24"/>
                <w:lang w:val="en-US" w:eastAsia="en-GB"/>
              </w:rPr>
              <w:t>.</w:t>
            </w:r>
            <w:r w:rsidRPr="003F3CA6">
              <w:rPr>
                <w:rFonts w:ascii="Times New Roman" w:hAnsi="Times New Roman"/>
                <w:sz w:val="24"/>
                <w:szCs w:val="24"/>
                <w:lang w:val="en-US" w:eastAsia="en-GB"/>
              </w:rPr>
              <w:t xml:space="preserve"> Box 392, UNISA</w:t>
            </w:r>
          </w:p>
          <w:p w:rsidR="00CC7315" w:rsidRPr="00F964F8" w:rsidRDefault="00CC7315" w:rsidP="002051E9">
            <w:pPr>
              <w:rPr>
                <w:rFonts w:ascii="Times New Roman" w:hAnsi="Times New Roman"/>
                <w:sz w:val="24"/>
                <w:szCs w:val="24"/>
                <w:lang w:val="pt-BR" w:eastAsia="en-GB"/>
              </w:rPr>
            </w:pPr>
            <w:r w:rsidRPr="00F964F8">
              <w:rPr>
                <w:rFonts w:ascii="Times New Roman" w:hAnsi="Times New Roman"/>
                <w:sz w:val="24"/>
                <w:szCs w:val="24"/>
                <w:lang w:val="pt-BR" w:eastAsia="en-GB"/>
              </w:rPr>
              <w:t>0003, Pretoria</w:t>
            </w:r>
          </w:p>
          <w:p w:rsidR="00CC7315" w:rsidRPr="00F964F8" w:rsidRDefault="00CC7315" w:rsidP="002051E9">
            <w:pPr>
              <w:rPr>
                <w:rFonts w:ascii="Times New Roman" w:hAnsi="Times New Roman"/>
                <w:sz w:val="24"/>
                <w:szCs w:val="24"/>
                <w:lang w:val="pt-BR" w:eastAsia="en-GB"/>
              </w:rPr>
            </w:pPr>
            <w:r w:rsidRPr="00F964F8">
              <w:rPr>
                <w:rFonts w:ascii="Times New Roman" w:hAnsi="Times New Roman"/>
                <w:sz w:val="24"/>
                <w:szCs w:val="24"/>
                <w:lang w:val="pt-BR" w:eastAsia="en-GB"/>
              </w:rPr>
              <w:t>South Africa</w:t>
            </w:r>
          </w:p>
          <w:p w:rsidR="00CC7315" w:rsidRPr="00F964F8" w:rsidRDefault="00CC7315" w:rsidP="002051E9">
            <w:pPr>
              <w:rPr>
                <w:rFonts w:asciiTheme="majorBidi" w:hAnsiTheme="majorBidi" w:cstheme="majorBidi"/>
                <w:lang w:val="fr-FR"/>
              </w:rPr>
            </w:pPr>
            <w:r w:rsidRPr="00F964F8">
              <w:rPr>
                <w:rFonts w:ascii="Times New Roman" w:hAnsi="Times New Roman"/>
                <w:sz w:val="24"/>
                <w:szCs w:val="24"/>
                <w:lang w:val="fr-FR" w:eastAsia="en-GB"/>
              </w:rPr>
              <w:t xml:space="preserve">Email: </w:t>
            </w:r>
            <w:hyperlink r:id="rId11" w:history="1">
              <w:r w:rsidRPr="009A5DE8">
                <w:rPr>
                  <w:rStyle w:val="Hyperlink"/>
                  <w:rFonts w:asciiTheme="majorBidi" w:hAnsiTheme="majorBidi" w:cstheme="majorBidi"/>
                  <w:sz w:val="24"/>
                  <w:szCs w:val="24"/>
                  <w:lang w:val="fr-FR"/>
                </w:rPr>
                <w:t>benitoflex@gmail.com</w:t>
              </w:r>
            </w:hyperlink>
            <w:r w:rsidR="009A5DE8">
              <w:rPr>
                <w:rStyle w:val="Hyperlink"/>
                <w:rFonts w:asciiTheme="majorBidi" w:hAnsiTheme="majorBidi" w:cstheme="majorBidi"/>
                <w:sz w:val="24"/>
                <w:szCs w:val="24"/>
                <w:lang w:val="fr-FR"/>
              </w:rPr>
              <w:t>/</w:t>
            </w:r>
            <w:r w:rsidR="009A5DE8">
              <w:rPr>
                <w:rFonts w:asciiTheme="majorBidi" w:hAnsiTheme="majorBidi" w:cstheme="majorBidi"/>
                <w:sz w:val="24"/>
                <w:szCs w:val="24"/>
                <w:lang w:val="fr-FR"/>
              </w:rPr>
              <w:t xml:space="preserve"> </w:t>
            </w:r>
            <w:hyperlink r:id="rId12" w:history="1">
              <w:r w:rsidRPr="009A5DE8">
                <w:rPr>
                  <w:rStyle w:val="Hyperlink"/>
                  <w:rFonts w:asciiTheme="majorBidi" w:hAnsiTheme="majorBidi" w:cstheme="majorBidi"/>
                  <w:sz w:val="24"/>
                  <w:szCs w:val="24"/>
                  <w:lang w:val="fr-FR"/>
                </w:rPr>
                <w:t>niykeb@unisa.ac.za</w:t>
              </w:r>
            </w:hyperlink>
            <w:r w:rsidRPr="00F964F8">
              <w:rPr>
                <w:rFonts w:asciiTheme="majorBidi" w:hAnsiTheme="majorBidi" w:cstheme="majorBidi"/>
                <w:lang w:val="fr-FR"/>
              </w:rPr>
              <w:t xml:space="preserve">  </w:t>
            </w:r>
          </w:p>
          <w:p w:rsidR="00CC7315" w:rsidRPr="00F964F8" w:rsidRDefault="00CC7315" w:rsidP="002051E9">
            <w:pPr>
              <w:tabs>
                <w:tab w:val="left" w:pos="2880"/>
              </w:tabs>
              <w:rPr>
                <w:rFonts w:ascii="Times New Roman" w:hAnsi="Times New Roman"/>
                <w:lang w:val="fr-FR"/>
              </w:rPr>
            </w:pPr>
          </w:p>
          <w:p w:rsidR="00CC7315" w:rsidRPr="00F964F8" w:rsidRDefault="00CC7315" w:rsidP="002051E9">
            <w:pPr>
              <w:tabs>
                <w:tab w:val="left" w:pos="2880"/>
              </w:tabs>
              <w:rPr>
                <w:rFonts w:ascii="Times New Roman" w:hAnsi="Times New Roman"/>
                <w:lang w:val="fr-FR"/>
              </w:rPr>
            </w:pPr>
          </w:p>
        </w:tc>
        <w:tc>
          <w:tcPr>
            <w:tcW w:w="2500" w:type="pct"/>
            <w:hideMark/>
          </w:tcPr>
          <w:p w:rsidR="00CC7315" w:rsidRPr="00AD104A" w:rsidRDefault="00CC7315" w:rsidP="002051E9">
            <w:pPr>
              <w:jc w:val="right"/>
              <w:rPr>
                <w:rFonts w:ascii="Times New Roman" w:hAnsi="Times New Roman"/>
                <w:sz w:val="24"/>
                <w:szCs w:val="24"/>
                <w:lang w:eastAsia="en-GB"/>
              </w:rPr>
            </w:pPr>
            <w:r w:rsidRPr="00AD104A">
              <w:rPr>
                <w:rFonts w:ascii="Times New Roman" w:hAnsi="Times New Roman"/>
                <w:sz w:val="24"/>
                <w:szCs w:val="24"/>
                <w:lang w:eastAsia="en-GB"/>
              </w:rPr>
              <w:t>Nicholas M. Odhiambo</w:t>
            </w:r>
          </w:p>
          <w:p w:rsidR="00CC7315" w:rsidRPr="00AD104A" w:rsidRDefault="00CC7315" w:rsidP="002051E9">
            <w:pPr>
              <w:jc w:val="right"/>
              <w:rPr>
                <w:rFonts w:ascii="Times New Roman" w:hAnsi="Times New Roman"/>
                <w:sz w:val="24"/>
                <w:szCs w:val="24"/>
                <w:lang w:eastAsia="en-GB"/>
              </w:rPr>
            </w:pPr>
            <w:r w:rsidRPr="00AD104A">
              <w:rPr>
                <w:rFonts w:ascii="Times New Roman" w:hAnsi="Times New Roman"/>
                <w:sz w:val="24"/>
                <w:szCs w:val="24"/>
                <w:lang w:eastAsia="en-GB"/>
              </w:rPr>
              <w:t>Department of Economics</w:t>
            </w:r>
          </w:p>
          <w:p w:rsidR="00CC7315" w:rsidRPr="00AD104A" w:rsidRDefault="00CC7315" w:rsidP="002051E9">
            <w:pPr>
              <w:jc w:val="right"/>
              <w:rPr>
                <w:rFonts w:ascii="Times New Roman" w:hAnsi="Times New Roman"/>
                <w:sz w:val="24"/>
                <w:szCs w:val="24"/>
                <w:lang w:eastAsia="en-GB"/>
              </w:rPr>
            </w:pPr>
            <w:r w:rsidRPr="00AD104A">
              <w:rPr>
                <w:rFonts w:ascii="Times New Roman" w:hAnsi="Times New Roman"/>
                <w:sz w:val="24"/>
                <w:szCs w:val="24"/>
                <w:lang w:eastAsia="en-GB"/>
              </w:rPr>
              <w:t>University of South Africa</w:t>
            </w:r>
          </w:p>
          <w:p w:rsidR="00CC7315" w:rsidRPr="00AD104A" w:rsidRDefault="00CC7315" w:rsidP="002051E9">
            <w:pPr>
              <w:jc w:val="right"/>
              <w:rPr>
                <w:rFonts w:ascii="Times New Roman" w:hAnsi="Times New Roman"/>
                <w:sz w:val="24"/>
                <w:szCs w:val="24"/>
                <w:lang w:eastAsia="en-GB"/>
              </w:rPr>
            </w:pPr>
            <w:r w:rsidRPr="00AD104A">
              <w:rPr>
                <w:rFonts w:ascii="Times New Roman" w:hAnsi="Times New Roman"/>
                <w:sz w:val="24"/>
                <w:szCs w:val="24"/>
                <w:lang w:eastAsia="en-GB"/>
              </w:rPr>
              <w:t>P.</w:t>
            </w:r>
            <w:r>
              <w:rPr>
                <w:rFonts w:ascii="Times New Roman" w:hAnsi="Times New Roman"/>
                <w:sz w:val="24"/>
                <w:szCs w:val="24"/>
                <w:lang w:eastAsia="en-GB"/>
              </w:rPr>
              <w:t xml:space="preserve"> </w:t>
            </w:r>
            <w:r w:rsidRPr="00AD104A">
              <w:rPr>
                <w:rFonts w:ascii="Times New Roman" w:hAnsi="Times New Roman"/>
                <w:sz w:val="24"/>
                <w:szCs w:val="24"/>
                <w:lang w:eastAsia="en-GB"/>
              </w:rPr>
              <w:t>O</w:t>
            </w:r>
            <w:r>
              <w:rPr>
                <w:rFonts w:ascii="Times New Roman" w:hAnsi="Times New Roman"/>
                <w:sz w:val="24"/>
                <w:szCs w:val="24"/>
                <w:lang w:eastAsia="en-GB"/>
              </w:rPr>
              <w:t>.</w:t>
            </w:r>
            <w:r w:rsidRPr="00AD104A">
              <w:rPr>
                <w:rFonts w:ascii="Times New Roman" w:hAnsi="Times New Roman"/>
                <w:sz w:val="24"/>
                <w:szCs w:val="24"/>
                <w:lang w:eastAsia="en-GB"/>
              </w:rPr>
              <w:t xml:space="preserve"> Box 392, UNISA</w:t>
            </w:r>
          </w:p>
          <w:p w:rsidR="00CC7315" w:rsidRPr="00AD104A" w:rsidRDefault="00CC7315" w:rsidP="002051E9">
            <w:pPr>
              <w:jc w:val="right"/>
              <w:rPr>
                <w:rFonts w:ascii="Times New Roman" w:hAnsi="Times New Roman"/>
                <w:sz w:val="24"/>
                <w:szCs w:val="24"/>
                <w:lang w:eastAsia="en-GB"/>
              </w:rPr>
            </w:pPr>
            <w:r w:rsidRPr="00AD104A">
              <w:rPr>
                <w:rFonts w:ascii="Times New Roman" w:hAnsi="Times New Roman"/>
                <w:sz w:val="24"/>
                <w:szCs w:val="24"/>
                <w:lang w:eastAsia="en-GB"/>
              </w:rPr>
              <w:t>0003, Pretoria</w:t>
            </w:r>
          </w:p>
          <w:p w:rsidR="00CC7315" w:rsidRPr="00AD104A" w:rsidRDefault="00CC7315" w:rsidP="002051E9">
            <w:pPr>
              <w:jc w:val="right"/>
              <w:rPr>
                <w:rFonts w:ascii="Times New Roman" w:hAnsi="Times New Roman"/>
                <w:sz w:val="24"/>
                <w:szCs w:val="24"/>
                <w:lang w:eastAsia="en-GB"/>
              </w:rPr>
            </w:pPr>
            <w:r w:rsidRPr="00AD104A">
              <w:rPr>
                <w:rFonts w:ascii="Times New Roman" w:hAnsi="Times New Roman"/>
                <w:sz w:val="24"/>
                <w:szCs w:val="24"/>
                <w:lang w:eastAsia="en-GB"/>
              </w:rPr>
              <w:t>South Africa</w:t>
            </w:r>
          </w:p>
          <w:p w:rsidR="00CC7315" w:rsidRPr="00AD104A" w:rsidRDefault="00CC7315" w:rsidP="002051E9">
            <w:pPr>
              <w:tabs>
                <w:tab w:val="left" w:pos="2880"/>
              </w:tabs>
              <w:jc w:val="right"/>
              <w:rPr>
                <w:rFonts w:ascii="Times New Roman" w:hAnsi="Times New Roman"/>
              </w:rPr>
            </w:pPr>
            <w:r w:rsidRPr="00AD104A">
              <w:rPr>
                <w:rFonts w:ascii="Times New Roman" w:hAnsi="Times New Roman"/>
                <w:sz w:val="24"/>
                <w:szCs w:val="24"/>
                <w:lang w:eastAsia="en-GB"/>
              </w:rPr>
              <w:t xml:space="preserve">Email: </w:t>
            </w:r>
            <w:hyperlink r:id="rId13" w:history="1">
              <w:r w:rsidRPr="00AD104A">
                <w:rPr>
                  <w:rFonts w:ascii="Times New Roman" w:hAnsi="Times New Roman"/>
                  <w:color w:val="0000FF"/>
                  <w:sz w:val="24"/>
                  <w:szCs w:val="24"/>
                  <w:u w:val="single"/>
                  <w:lang w:eastAsia="en-GB"/>
                </w:rPr>
                <w:t xml:space="preserve">odhianm@unisa.ac.za / nmbaya99@yahoo.com  </w:t>
              </w:r>
            </w:hyperlink>
          </w:p>
        </w:tc>
      </w:tr>
    </w:tbl>
    <w:p w:rsidR="00CC7315" w:rsidRDefault="00CC7315" w:rsidP="00CC7315">
      <w:pPr>
        <w:tabs>
          <w:tab w:val="left" w:pos="2880"/>
        </w:tabs>
        <w:jc w:val="both"/>
        <w:rPr>
          <w:rFonts w:ascii="Times New Roman" w:hAnsi="Times New Roman"/>
        </w:rPr>
      </w:pPr>
    </w:p>
    <w:p w:rsidR="00CC7315" w:rsidRDefault="00CC7315" w:rsidP="00CC7315">
      <w:pPr>
        <w:pBdr>
          <w:bottom w:val="single" w:sz="18" w:space="4" w:color="auto"/>
        </w:pBdr>
        <w:tabs>
          <w:tab w:val="left" w:pos="2880"/>
        </w:tabs>
        <w:spacing w:before="240"/>
        <w:jc w:val="both"/>
        <w:rPr>
          <w:rFonts w:ascii="Times New Roman" w:hAnsi="Times New Roman"/>
        </w:rPr>
      </w:pPr>
    </w:p>
    <w:p w:rsidR="00CC7315" w:rsidRPr="00B02EE7" w:rsidRDefault="00CC7315" w:rsidP="00CC7315">
      <w:pPr>
        <w:shd w:val="clear" w:color="auto" w:fill="FFFFFF"/>
        <w:spacing w:after="0" w:line="240" w:lineRule="auto"/>
        <w:ind w:right="180"/>
        <w:jc w:val="both"/>
        <w:rPr>
          <w:rFonts w:ascii="Times New Roman" w:eastAsia="Times New Roman" w:hAnsi="Times New Roman"/>
          <w:bCs/>
          <w:i/>
          <w:sz w:val="20"/>
          <w:szCs w:val="20"/>
          <w:lang w:val="en-ZA"/>
        </w:rPr>
      </w:pPr>
      <w:r w:rsidRPr="00B02EE7">
        <w:rPr>
          <w:rFonts w:ascii="Times New Roman" w:eastAsia="Times New Roman" w:hAnsi="Times New Roman"/>
          <w:bCs/>
          <w:i/>
          <w:sz w:val="20"/>
          <w:szCs w:val="20"/>
          <w:lang w:val="en-ZA"/>
        </w:rPr>
        <w:t>UNISA Economic Research Working Papers constitute work in progress. They are papers that are under submission or are forthcoming elsewhere. They have not been peer-reviewed; neither have they been subjected to a scientific evaluation by an editorial team. The views expressed in this paper, as well as any errors, omissions or inaccurate information, are entirely those of the author(s). Comments or questions about this paper should be sent directly to the corresponding author.</w:t>
      </w:r>
    </w:p>
    <w:p w:rsidR="00CC7315" w:rsidRDefault="00CC7315" w:rsidP="00CC7315">
      <w:pPr>
        <w:pBdr>
          <w:bottom w:val="single" w:sz="18" w:space="1" w:color="auto"/>
        </w:pBdr>
        <w:tabs>
          <w:tab w:val="left" w:pos="2880"/>
        </w:tabs>
        <w:spacing w:after="0" w:line="240" w:lineRule="auto"/>
        <w:jc w:val="both"/>
        <w:rPr>
          <w:rFonts w:ascii="Times New Roman" w:hAnsi="Times New Roman"/>
        </w:rPr>
      </w:pPr>
    </w:p>
    <w:p w:rsidR="00CC7315" w:rsidRDefault="00CC7315" w:rsidP="00CC7315">
      <w:pPr>
        <w:tabs>
          <w:tab w:val="left" w:pos="2880"/>
        </w:tabs>
        <w:spacing w:after="0" w:line="240" w:lineRule="auto"/>
        <w:jc w:val="both"/>
        <w:rPr>
          <w:rFonts w:ascii="Times New Roman" w:hAnsi="Times New Roman"/>
          <w:sz w:val="24"/>
          <w:szCs w:val="24"/>
        </w:rPr>
      </w:pPr>
    </w:p>
    <w:p w:rsidR="00CC7315" w:rsidRDefault="00CC7315" w:rsidP="00CC7315">
      <w:pPr>
        <w:tabs>
          <w:tab w:val="left" w:pos="2880"/>
        </w:tabs>
        <w:spacing w:after="0" w:line="240" w:lineRule="auto"/>
        <w:jc w:val="both"/>
        <w:rPr>
          <w:rFonts w:ascii="Times New Roman" w:hAnsi="Times New Roman"/>
          <w:sz w:val="24"/>
          <w:szCs w:val="24"/>
        </w:rPr>
      </w:pPr>
    </w:p>
    <w:p w:rsidR="00CC7315" w:rsidRDefault="00CC7315" w:rsidP="00CC7315">
      <w:pPr>
        <w:tabs>
          <w:tab w:val="left" w:pos="2880"/>
        </w:tabs>
        <w:spacing w:after="0" w:line="240" w:lineRule="auto"/>
        <w:jc w:val="both"/>
        <w:rPr>
          <w:rFonts w:ascii="Times New Roman" w:hAnsi="Times New Roman"/>
          <w:sz w:val="24"/>
          <w:szCs w:val="24"/>
        </w:rPr>
      </w:pPr>
    </w:p>
    <w:p w:rsidR="00CC7315" w:rsidRDefault="00CC7315" w:rsidP="00CC7315">
      <w:pPr>
        <w:tabs>
          <w:tab w:val="left" w:pos="2880"/>
        </w:tabs>
        <w:spacing w:after="0" w:line="240" w:lineRule="auto"/>
        <w:jc w:val="both"/>
        <w:rPr>
          <w:rFonts w:asciiTheme="minorHAnsi" w:eastAsiaTheme="minorHAnsi" w:hAnsiTheme="minorHAnsi" w:cstheme="minorBidi"/>
        </w:rPr>
      </w:pPr>
      <w:r w:rsidRPr="00AD104A">
        <w:rPr>
          <w:rFonts w:ascii="Times New Roman" w:hAnsi="Times New Roman"/>
          <w:sz w:val="24"/>
          <w:szCs w:val="24"/>
        </w:rPr>
        <w:t xml:space="preserve">©2015 by </w:t>
      </w:r>
      <w:r>
        <w:rPr>
          <w:rFonts w:ascii="Times New Roman" w:hAnsi="Times New Roman"/>
          <w:sz w:val="24"/>
          <w:szCs w:val="24"/>
        </w:rPr>
        <w:t>Bernard Njindan Iyke and Nicholas M. Odhiambo</w:t>
      </w:r>
      <w:r w:rsidRPr="00AD104A">
        <w:rPr>
          <w:rFonts w:ascii="Times New Roman" w:hAnsi="Times New Roman"/>
          <w:sz w:val="24"/>
          <w:szCs w:val="24"/>
        </w:rPr>
        <w:t xml:space="preserve"> </w:t>
      </w:r>
    </w:p>
    <w:p w:rsidR="00CC7315" w:rsidRDefault="00CC7315" w:rsidP="00CC7315">
      <w:pPr>
        <w:spacing w:after="0" w:line="240" w:lineRule="auto"/>
        <w:jc w:val="center"/>
        <w:rPr>
          <w:rFonts w:ascii="Times New Roman" w:eastAsia="Times New Roman" w:hAnsi="Times New Roman"/>
          <w:b/>
          <w:bCs/>
          <w:sz w:val="24"/>
          <w:szCs w:val="24"/>
          <w:lang w:eastAsia="en-ZW"/>
        </w:rPr>
        <w:sectPr w:rsidR="00CC7315" w:rsidSect="0098631E">
          <w:footerReference w:type="default" r:id="rId14"/>
          <w:pgSz w:w="12240" w:h="15840"/>
          <w:pgMar w:top="142" w:right="758" w:bottom="709" w:left="993" w:header="720" w:footer="0" w:gutter="0"/>
          <w:cols w:space="720"/>
          <w:titlePg/>
          <w:docGrid w:linePitch="360"/>
        </w:sectPr>
      </w:pPr>
    </w:p>
    <w:p w:rsidR="00195769" w:rsidRDefault="00EE1D63" w:rsidP="00195769">
      <w:pPr>
        <w:spacing w:after="0" w:line="240" w:lineRule="auto"/>
        <w:jc w:val="center"/>
        <w:rPr>
          <w:rFonts w:ascii="Times New Roman" w:hAnsi="Times New Roman"/>
          <w:b/>
          <w:bCs/>
          <w:sz w:val="24"/>
          <w:szCs w:val="24"/>
          <w:lang w:eastAsia="en-ZW"/>
        </w:rPr>
      </w:pPr>
      <w:r w:rsidRPr="00EE1D63">
        <w:rPr>
          <w:rFonts w:ascii="Times New Roman" w:eastAsia="Times New Roman" w:hAnsi="Times New Roman"/>
          <w:b/>
          <w:bCs/>
          <w:sz w:val="24"/>
          <w:szCs w:val="24"/>
          <w:lang w:val="en-US" w:eastAsia="en-ZW"/>
        </w:rPr>
        <w:lastRenderedPageBreak/>
        <w:t>MODELLING LONG-RUN EQUILIBRIUM EXCHANGE RATE IN BOTSWANA</w:t>
      </w:r>
    </w:p>
    <w:p w:rsidR="00CC7315" w:rsidRPr="00E1670E" w:rsidRDefault="00CC7315" w:rsidP="00CC7315">
      <w:pPr>
        <w:spacing w:after="0" w:line="240" w:lineRule="auto"/>
        <w:jc w:val="center"/>
        <w:rPr>
          <w:rFonts w:ascii="Times New Roman" w:eastAsia="Times New Roman" w:hAnsi="Times New Roman"/>
          <w:b/>
          <w:bCs/>
          <w:sz w:val="24"/>
          <w:szCs w:val="24"/>
          <w:lang w:eastAsia="en-ZW"/>
        </w:rPr>
      </w:pPr>
    </w:p>
    <w:p w:rsidR="00CC7315" w:rsidRPr="00D2427C" w:rsidRDefault="00CC7315" w:rsidP="00CC7315">
      <w:pPr>
        <w:spacing w:after="0" w:line="240" w:lineRule="auto"/>
        <w:jc w:val="center"/>
        <w:rPr>
          <w:rFonts w:ascii="Times New Roman" w:eastAsia="Times New Roman" w:hAnsi="Times New Roman"/>
          <w:b/>
          <w:bCs/>
          <w:sz w:val="24"/>
          <w:szCs w:val="24"/>
          <w:lang w:eastAsia="en-ZW"/>
        </w:rPr>
      </w:pPr>
    </w:p>
    <w:p w:rsidR="00CC7315" w:rsidRPr="00BE26C3" w:rsidRDefault="00CC7315" w:rsidP="00CC7315">
      <w:pPr>
        <w:spacing w:after="0" w:line="240" w:lineRule="auto"/>
        <w:rPr>
          <w:rFonts w:ascii="Times New Roman" w:eastAsia="Times New Roman" w:hAnsi="Times New Roman"/>
          <w:b/>
          <w:bCs/>
          <w:sz w:val="24"/>
          <w:szCs w:val="24"/>
          <w:lang w:eastAsia="en-ZW"/>
        </w:rPr>
      </w:pPr>
    </w:p>
    <w:p w:rsidR="00CC7315" w:rsidRDefault="00CC7315" w:rsidP="00CC7315">
      <w:pPr>
        <w:pBdr>
          <w:bottom w:val="single" w:sz="4" w:space="1" w:color="auto"/>
        </w:pBdr>
        <w:tabs>
          <w:tab w:val="left" w:pos="2880"/>
        </w:tabs>
        <w:spacing w:line="240" w:lineRule="auto"/>
        <w:jc w:val="center"/>
        <w:rPr>
          <w:rFonts w:ascii="Times New Roman" w:hAnsi="Times New Roman"/>
        </w:rPr>
      </w:pPr>
      <w:r>
        <w:rPr>
          <w:rFonts w:ascii="Times New Roman" w:hAnsi="Times New Roman"/>
        </w:rPr>
        <w:t>Bernard Njindan Iyke</w:t>
      </w:r>
      <w:r w:rsidRPr="002158E8">
        <w:rPr>
          <w:rFonts w:ascii="Times New Roman" w:hAnsi="Times New Roman"/>
          <w:vertAlign w:val="superscript"/>
        </w:rPr>
        <w:footnoteReference w:id="1"/>
      </w:r>
      <w:r w:rsidRPr="002158E8">
        <w:rPr>
          <w:rFonts w:ascii="Times New Roman" w:hAnsi="Times New Roman"/>
        </w:rPr>
        <w:t xml:space="preserve"> and Nicholas M. Odhiambo</w:t>
      </w:r>
    </w:p>
    <w:p w:rsidR="00CC7315" w:rsidRDefault="00CC7315" w:rsidP="00CC7315">
      <w:pPr>
        <w:pBdr>
          <w:bottom w:val="single" w:sz="4" w:space="1" w:color="auto"/>
        </w:pBdr>
        <w:tabs>
          <w:tab w:val="left" w:pos="2880"/>
        </w:tabs>
        <w:spacing w:line="240" w:lineRule="auto"/>
        <w:jc w:val="center"/>
        <w:rPr>
          <w:rFonts w:ascii="Times New Roman" w:hAnsi="Times New Roman"/>
        </w:rPr>
      </w:pPr>
    </w:p>
    <w:p w:rsidR="00CC7315" w:rsidRPr="002158E8" w:rsidRDefault="00CC7315" w:rsidP="00CC7315">
      <w:pPr>
        <w:pBdr>
          <w:bottom w:val="single" w:sz="4" w:space="1" w:color="auto"/>
        </w:pBdr>
        <w:tabs>
          <w:tab w:val="left" w:pos="2880"/>
        </w:tabs>
        <w:spacing w:after="0" w:line="240" w:lineRule="auto"/>
        <w:jc w:val="center"/>
        <w:rPr>
          <w:rFonts w:ascii="Times New Roman" w:hAnsi="Times New Roman"/>
        </w:rPr>
      </w:pPr>
    </w:p>
    <w:p w:rsidR="00CC7315" w:rsidRPr="00BE26C3" w:rsidRDefault="00CC7315" w:rsidP="00CC7315">
      <w:pPr>
        <w:spacing w:after="0" w:line="240" w:lineRule="auto"/>
        <w:rPr>
          <w:rFonts w:ascii="Times New Roman" w:eastAsia="Times New Roman" w:hAnsi="Times New Roman"/>
          <w:b/>
          <w:bCs/>
          <w:sz w:val="24"/>
          <w:szCs w:val="24"/>
          <w:lang w:eastAsia="en-ZW"/>
        </w:rPr>
      </w:pPr>
    </w:p>
    <w:p w:rsidR="00CC7315" w:rsidRPr="00BE26C3" w:rsidRDefault="00CC7315" w:rsidP="00CC7315">
      <w:pPr>
        <w:spacing w:after="0" w:line="240" w:lineRule="auto"/>
        <w:rPr>
          <w:rFonts w:ascii="Times New Roman" w:eastAsia="Times New Roman" w:hAnsi="Times New Roman"/>
          <w:b/>
          <w:bCs/>
          <w:sz w:val="24"/>
          <w:szCs w:val="24"/>
          <w:lang w:eastAsia="en-ZW"/>
        </w:rPr>
      </w:pPr>
      <w:r w:rsidRPr="00BE26C3">
        <w:rPr>
          <w:rFonts w:ascii="Times New Roman" w:eastAsia="Times New Roman" w:hAnsi="Times New Roman"/>
          <w:b/>
          <w:bCs/>
          <w:sz w:val="24"/>
          <w:szCs w:val="24"/>
          <w:lang w:eastAsia="en-ZW"/>
        </w:rPr>
        <w:t>Abstract</w:t>
      </w:r>
    </w:p>
    <w:p w:rsidR="00CC7315" w:rsidRPr="00BE26C3" w:rsidRDefault="00CC7315" w:rsidP="00CC7315">
      <w:pPr>
        <w:spacing w:after="0" w:line="240" w:lineRule="auto"/>
        <w:jc w:val="center"/>
        <w:rPr>
          <w:rFonts w:ascii="Times New Roman" w:eastAsia="Times New Roman" w:hAnsi="Times New Roman"/>
          <w:b/>
          <w:bCs/>
          <w:sz w:val="24"/>
          <w:szCs w:val="24"/>
          <w:lang w:eastAsia="en-ZW"/>
        </w:rPr>
      </w:pPr>
    </w:p>
    <w:p w:rsidR="00CC7315" w:rsidRPr="00BE26C3" w:rsidRDefault="00EE1D63" w:rsidP="00CC7315">
      <w:pPr>
        <w:spacing w:line="360" w:lineRule="auto"/>
        <w:jc w:val="both"/>
        <w:rPr>
          <w:rFonts w:ascii="Times New Roman" w:eastAsia="Times New Roman" w:hAnsi="Times New Roman"/>
          <w:sz w:val="24"/>
          <w:szCs w:val="24"/>
          <w:lang w:eastAsia="en-GB"/>
        </w:rPr>
      </w:pPr>
      <w:r w:rsidRPr="00EE1D63">
        <w:rPr>
          <w:rFonts w:ascii="Times New Roman" w:eastAsia="Times New Roman" w:hAnsi="Times New Roman"/>
          <w:i/>
          <w:lang w:val="en-US" w:eastAsia="en-GB"/>
        </w:rPr>
        <w:t>In this paper, we estimate the equilibrium real exchange rate for Botswana. We also review the exchange rate regimes pursued by Botswana from independence to date. The evidence suggests that Botswana operated a fixed exchange without adjustable pegs from 1966-1976; a fixed exchange with adjustable pegs from 1976-1980; and a fixed exchange with a currency basket from 1980 to date. From the ARDL bounds testing procedure, we found that the determinants of the equilibrium real exchange rate in Botswana are terms of trade and trade openness. The actual real exchange rate appears to have deviated significantly from the equilibrium exchange rate. Perhaps more worrying is the fact that our estimated speed of adjustment is very slow. This means that significant deviations are not corrected faster annually. Policymakers in Botswana are encouraged to pursue policies which could raise the adjustment parameter in order to avoid excess misalignments, going forward.</w:t>
      </w:r>
      <w:r w:rsidR="00CC7315" w:rsidRPr="00BE26C3">
        <w:rPr>
          <w:rFonts w:ascii="Times New Roman" w:eastAsia="Times New Roman" w:hAnsi="Times New Roman"/>
          <w:sz w:val="24"/>
          <w:szCs w:val="24"/>
          <w:lang w:eastAsia="en-GB"/>
        </w:rPr>
        <w:t xml:space="preserve"> </w:t>
      </w:r>
    </w:p>
    <w:p w:rsidR="00CC7315" w:rsidRPr="00BE26C3" w:rsidRDefault="00CC7315" w:rsidP="00540255">
      <w:pPr>
        <w:tabs>
          <w:tab w:val="left" w:pos="2160"/>
        </w:tabs>
        <w:spacing w:line="360" w:lineRule="auto"/>
        <w:jc w:val="both"/>
        <w:rPr>
          <w:rFonts w:ascii="Times New Roman" w:eastAsia="Times New Roman" w:hAnsi="Times New Roman"/>
          <w:sz w:val="24"/>
          <w:szCs w:val="24"/>
          <w:lang w:eastAsia="en-GB"/>
        </w:rPr>
      </w:pPr>
      <w:r w:rsidRPr="00BE26C3">
        <w:rPr>
          <w:rFonts w:ascii="Times New Roman" w:eastAsia="Times New Roman" w:hAnsi="Times New Roman"/>
          <w:b/>
          <w:sz w:val="24"/>
          <w:szCs w:val="24"/>
          <w:lang w:eastAsia="en-GB"/>
        </w:rPr>
        <w:t>Keywords:</w:t>
      </w:r>
      <w:r w:rsidRPr="00BE26C3">
        <w:rPr>
          <w:rFonts w:ascii="Times New Roman" w:eastAsia="Times New Roman" w:hAnsi="Times New Roman"/>
          <w:sz w:val="24"/>
          <w:szCs w:val="24"/>
          <w:lang w:eastAsia="en-GB"/>
        </w:rPr>
        <w:t xml:space="preserve"> </w:t>
      </w:r>
      <w:r w:rsidR="00540255" w:rsidRPr="00540255">
        <w:rPr>
          <w:rFonts w:ascii="Times New Roman" w:eastAsia="Times New Roman" w:hAnsi="Times New Roman"/>
          <w:i/>
          <w:sz w:val="24"/>
          <w:szCs w:val="24"/>
          <w:lang w:val="en-US" w:eastAsia="en-GB"/>
        </w:rPr>
        <w:t>Real Exchange Rate, Equilibrium Exchange Rate, Botswana</w:t>
      </w:r>
      <w:r w:rsidRPr="00BE26C3">
        <w:rPr>
          <w:rFonts w:ascii="Times New Roman" w:eastAsia="Times New Roman" w:hAnsi="Times New Roman"/>
          <w:sz w:val="24"/>
          <w:szCs w:val="24"/>
          <w:lang w:eastAsia="en-GB"/>
        </w:rPr>
        <w:t xml:space="preserve"> </w:t>
      </w:r>
    </w:p>
    <w:p w:rsidR="00CC7315" w:rsidRPr="003505D3" w:rsidRDefault="00CC7315" w:rsidP="003505D3">
      <w:pPr>
        <w:pBdr>
          <w:bottom w:val="single" w:sz="6" w:space="1" w:color="auto"/>
        </w:pBdr>
        <w:tabs>
          <w:tab w:val="left" w:pos="2160"/>
        </w:tabs>
        <w:spacing w:line="360" w:lineRule="auto"/>
        <w:jc w:val="both"/>
        <w:rPr>
          <w:rFonts w:ascii="Times New Roman" w:eastAsia="Times New Roman" w:hAnsi="Times New Roman"/>
          <w:sz w:val="24"/>
          <w:szCs w:val="24"/>
          <w:lang w:val="fr-FR" w:eastAsia="en-GB"/>
        </w:rPr>
      </w:pPr>
      <w:r w:rsidRPr="00F964F8">
        <w:rPr>
          <w:rFonts w:ascii="Times New Roman" w:eastAsia="Times New Roman" w:hAnsi="Times New Roman"/>
          <w:b/>
          <w:sz w:val="24"/>
          <w:szCs w:val="24"/>
          <w:lang w:val="fr-FR" w:eastAsia="en-GB"/>
        </w:rPr>
        <w:t>JEL Classification Code:</w:t>
      </w:r>
      <w:r w:rsidRPr="00F964F8">
        <w:rPr>
          <w:rFonts w:ascii="Times New Roman" w:eastAsia="Times New Roman" w:hAnsi="Times New Roman"/>
          <w:sz w:val="24"/>
          <w:szCs w:val="24"/>
          <w:lang w:val="fr-FR" w:eastAsia="en-GB"/>
        </w:rPr>
        <w:t xml:space="preserve"> </w:t>
      </w:r>
      <w:r w:rsidR="00540255" w:rsidRPr="003505D3">
        <w:rPr>
          <w:rFonts w:ascii="Times New Roman" w:eastAsia="Times New Roman" w:hAnsi="Times New Roman"/>
          <w:bCs/>
          <w:i/>
          <w:sz w:val="24"/>
          <w:szCs w:val="24"/>
          <w:lang w:val="fr-FR" w:eastAsia="en-GB"/>
        </w:rPr>
        <w:t>C53, F31</w:t>
      </w:r>
    </w:p>
    <w:p w:rsidR="002D2717" w:rsidRPr="003505D3" w:rsidRDefault="002D2717">
      <w:pPr>
        <w:rPr>
          <w:lang w:val="fr-FR"/>
        </w:rPr>
      </w:pPr>
    </w:p>
    <w:p w:rsidR="00AF5F3A" w:rsidRPr="003505D3" w:rsidRDefault="00AF5F3A">
      <w:pPr>
        <w:rPr>
          <w:lang w:val="fr-FR"/>
        </w:rPr>
      </w:pPr>
    </w:p>
    <w:p w:rsidR="00AF5F3A" w:rsidRPr="00EE1D63" w:rsidRDefault="00AF5F3A" w:rsidP="00AF5F3A">
      <w:pPr>
        <w:autoSpaceDE w:val="0"/>
        <w:autoSpaceDN w:val="0"/>
        <w:adjustRightInd w:val="0"/>
        <w:spacing w:line="480" w:lineRule="auto"/>
        <w:jc w:val="both"/>
        <w:rPr>
          <w:rFonts w:ascii="Times New Roman" w:eastAsia="Times New Roman" w:hAnsi="Times New Roman"/>
          <w:b/>
          <w:bCs/>
          <w:sz w:val="24"/>
          <w:szCs w:val="24"/>
          <w:lang w:val="fr-FR"/>
        </w:rPr>
      </w:pPr>
      <w:r w:rsidRPr="00EE1D63">
        <w:rPr>
          <w:rFonts w:ascii="Times New Roman" w:eastAsia="Times New Roman" w:hAnsi="Times New Roman"/>
          <w:b/>
          <w:bCs/>
          <w:sz w:val="24"/>
          <w:szCs w:val="24"/>
          <w:lang w:val="fr-FR"/>
        </w:rPr>
        <w:t>1. Introduction</w:t>
      </w:r>
    </w:p>
    <w:p w:rsidR="00EE1D63" w:rsidRPr="00EE1D63" w:rsidRDefault="00EE1D63" w:rsidP="00EE1D63">
      <w:pPr>
        <w:spacing w:line="480" w:lineRule="auto"/>
        <w:jc w:val="both"/>
        <w:rPr>
          <w:rFonts w:ascii="Times New Roman" w:hAnsi="Times New Roman"/>
          <w:bCs/>
          <w:sz w:val="24"/>
          <w:szCs w:val="24"/>
        </w:rPr>
      </w:pPr>
      <w:r w:rsidRPr="00EE1D63">
        <w:rPr>
          <w:rFonts w:ascii="Times New Roman" w:hAnsi="Times New Roman"/>
          <w:bCs/>
          <w:sz w:val="24"/>
          <w:szCs w:val="24"/>
        </w:rPr>
        <w:t xml:space="preserve">What approach is appropriate for estimating equilibrium exchange rates? There have been an increasing number of research papers proposing various approaches for estimating the equilibrium exchange rate.  Central to this renaissance is the fact that measuring, detecting and </w:t>
      </w:r>
      <w:r w:rsidRPr="00EE1D63">
        <w:rPr>
          <w:rFonts w:ascii="Times New Roman" w:hAnsi="Times New Roman"/>
          <w:bCs/>
          <w:sz w:val="24"/>
          <w:szCs w:val="24"/>
        </w:rPr>
        <w:lastRenderedPageBreak/>
        <w:t>correcting the real exchange rate disequilibrium is crucial to achieving and maintaining macroeconomic stability (see, for instance, Edwards, 1996). It is well known that real exchange misalignments (especially overvaluations) are not favourable for economic growth (see Rodrik, 2008). Real exchange misalignments, in the form of overvalued currencies can destabilize an economy through shortages of foreign currency, unsustainable current account deficits, balance-of-payment crises, corruption, and rent-seeking activities, among others (see Rodrik 2008). Developing countries are even more cautious about this because other factors are already inhibiting their growth prospects. Thus, the real exchange rate remains a crucial variable which has been at the forefront of many policy discussions in developing countries (</w:t>
      </w:r>
      <w:r w:rsidRPr="00EE1D63">
        <w:rPr>
          <w:rFonts w:ascii="Times New Roman" w:hAnsi="Times New Roman"/>
          <w:bCs/>
          <w:sz w:val="24"/>
          <w:szCs w:val="24"/>
          <w:lang w:val="en-ZA"/>
        </w:rPr>
        <w:t xml:space="preserve">see Melvin, 1985; Collins, 1996; </w:t>
      </w:r>
      <w:proofErr w:type="spellStart"/>
      <w:r w:rsidRPr="00EE1D63">
        <w:rPr>
          <w:rFonts w:ascii="Times New Roman" w:hAnsi="Times New Roman"/>
          <w:bCs/>
          <w:sz w:val="24"/>
          <w:szCs w:val="24"/>
          <w:lang w:val="en-ZA"/>
        </w:rPr>
        <w:t>Papaioannou</w:t>
      </w:r>
      <w:proofErr w:type="spellEnd"/>
      <w:r w:rsidRPr="00EE1D63">
        <w:rPr>
          <w:rFonts w:ascii="Times New Roman" w:hAnsi="Times New Roman"/>
          <w:bCs/>
          <w:sz w:val="24"/>
          <w:szCs w:val="24"/>
          <w:lang w:val="en-ZA"/>
        </w:rPr>
        <w:t>, 2003, among others).</w:t>
      </w:r>
    </w:p>
    <w:p w:rsidR="00EE1D63" w:rsidRPr="00EE1D63" w:rsidRDefault="00EE1D63" w:rsidP="00EE1D63">
      <w:pPr>
        <w:spacing w:line="480" w:lineRule="auto"/>
        <w:jc w:val="both"/>
        <w:rPr>
          <w:rFonts w:ascii="Times New Roman" w:hAnsi="Times New Roman"/>
          <w:bCs/>
          <w:sz w:val="24"/>
          <w:szCs w:val="24"/>
          <w:lang w:val="en-ZA"/>
        </w:rPr>
      </w:pPr>
      <w:r w:rsidRPr="00EE1D63">
        <w:rPr>
          <w:rFonts w:ascii="Times New Roman" w:hAnsi="Times New Roman"/>
          <w:bCs/>
          <w:sz w:val="24"/>
          <w:szCs w:val="24"/>
          <w:lang w:val="en-ZA"/>
        </w:rPr>
        <w:t xml:space="preserve">This paper aims to contribute to the literature on the real exchange rate estimation by attempting to provide the equilibrium real exchange rate for Botswana for the period 1975-2012. We take a fairly clear stance by adopting the behavioural equilibrium exchange rate (BEER) approach, as proposed in Clark and MacDonald (1999). This means that we can utilize cointegration analysis to assess the real exchange rate and its determinants. This approach basically entails identifying the macroeconomic factors which influence real exchange rates in theory and in practice. A representative literature for this approach is the optimum currency area (OCA) literature, which identifies economic size and trade openness as long-run determinants of the choice of exchange rate regimes (see Mundell, 1961; and McKinnon, 1963; for a detailed exposition of the OCA literature); and the real exchange misalignments literature, in which Balassa (1964), Samuelson (1964) and </w:t>
      </w:r>
      <w:proofErr w:type="spellStart"/>
      <w:r w:rsidRPr="00EE1D63">
        <w:rPr>
          <w:rFonts w:ascii="Times New Roman" w:hAnsi="Times New Roman"/>
          <w:bCs/>
          <w:sz w:val="24"/>
          <w:szCs w:val="24"/>
          <w:lang w:val="en-ZA"/>
        </w:rPr>
        <w:t>Bhagwati</w:t>
      </w:r>
      <w:proofErr w:type="spellEnd"/>
      <w:r w:rsidRPr="00EE1D63">
        <w:rPr>
          <w:rFonts w:ascii="Times New Roman" w:hAnsi="Times New Roman"/>
          <w:bCs/>
          <w:sz w:val="24"/>
          <w:szCs w:val="24"/>
          <w:lang w:val="en-ZA"/>
        </w:rPr>
        <w:t xml:space="preserve"> (1984) stress the role that relative productivity plays in influencing the </w:t>
      </w:r>
      <w:r w:rsidRPr="00EE1D63">
        <w:rPr>
          <w:rFonts w:ascii="Times New Roman" w:hAnsi="Times New Roman"/>
          <w:bCs/>
          <w:sz w:val="24"/>
          <w:szCs w:val="24"/>
          <w:lang w:val="en-ZA"/>
        </w:rPr>
        <w:lastRenderedPageBreak/>
        <w:t>level of real exchange rates across countries.</w:t>
      </w:r>
      <w:r w:rsidRPr="00EE1D63">
        <w:rPr>
          <w:rStyle w:val="FootnoteReference"/>
          <w:bCs/>
          <w:sz w:val="24"/>
          <w:szCs w:val="24"/>
          <w:lang w:val="en-ZA"/>
        </w:rPr>
        <w:footnoteReference w:id="2"/>
      </w:r>
      <w:r w:rsidRPr="00EE1D63">
        <w:rPr>
          <w:rFonts w:ascii="Times New Roman" w:hAnsi="Times New Roman"/>
          <w:bCs/>
          <w:sz w:val="24"/>
          <w:szCs w:val="24"/>
          <w:lang w:val="en-ZA"/>
        </w:rPr>
        <w:t xml:space="preserve"> Other studies motivate the fundamental determinants approach, in which models for internal and external balance are estimated (see, among others, Frankel, 1995; </w:t>
      </w:r>
      <w:proofErr w:type="spellStart"/>
      <w:r w:rsidRPr="00EE1D63">
        <w:rPr>
          <w:rFonts w:ascii="Times New Roman" w:hAnsi="Times New Roman"/>
          <w:bCs/>
          <w:sz w:val="24"/>
          <w:szCs w:val="24"/>
          <w:lang w:val="en-ZA"/>
        </w:rPr>
        <w:t>Tornell</w:t>
      </w:r>
      <w:proofErr w:type="spellEnd"/>
      <w:r w:rsidRPr="00EE1D63">
        <w:rPr>
          <w:rFonts w:ascii="Times New Roman" w:hAnsi="Times New Roman"/>
          <w:bCs/>
          <w:sz w:val="24"/>
          <w:szCs w:val="24"/>
          <w:lang w:val="en-ZA"/>
        </w:rPr>
        <w:t xml:space="preserve"> and Velasco, 1995; Edwards, 1996; Berger </w:t>
      </w:r>
      <w:r w:rsidRPr="00EE1D63">
        <w:rPr>
          <w:rFonts w:ascii="Times New Roman" w:hAnsi="Times New Roman"/>
          <w:bCs/>
          <w:i/>
          <w:iCs/>
          <w:sz w:val="24"/>
          <w:szCs w:val="24"/>
          <w:lang w:val="en-ZA"/>
        </w:rPr>
        <w:t>et al.</w:t>
      </w:r>
      <w:r w:rsidRPr="00EE1D63">
        <w:rPr>
          <w:rFonts w:ascii="Times New Roman" w:hAnsi="Times New Roman"/>
          <w:bCs/>
          <w:sz w:val="24"/>
          <w:szCs w:val="24"/>
          <w:lang w:val="en-ZA"/>
        </w:rPr>
        <w:t xml:space="preserve">, 2000; Hausmann </w:t>
      </w:r>
      <w:r w:rsidRPr="00EE1D63">
        <w:rPr>
          <w:rFonts w:ascii="Times New Roman" w:hAnsi="Times New Roman"/>
          <w:bCs/>
          <w:i/>
          <w:iCs/>
          <w:sz w:val="24"/>
          <w:szCs w:val="24"/>
          <w:lang w:val="en-ZA"/>
        </w:rPr>
        <w:t>et al.</w:t>
      </w:r>
      <w:r w:rsidRPr="00EE1D63">
        <w:rPr>
          <w:rFonts w:ascii="Times New Roman" w:hAnsi="Times New Roman"/>
          <w:bCs/>
          <w:sz w:val="24"/>
          <w:szCs w:val="24"/>
          <w:lang w:val="en-ZA"/>
        </w:rPr>
        <w:t>,</w:t>
      </w:r>
      <w:r w:rsidRPr="00EE1D63">
        <w:rPr>
          <w:rFonts w:ascii="Times New Roman" w:hAnsi="Times New Roman"/>
          <w:bCs/>
          <w:i/>
          <w:iCs/>
          <w:sz w:val="24"/>
          <w:szCs w:val="24"/>
          <w:lang w:val="en-ZA"/>
        </w:rPr>
        <w:t xml:space="preserve"> </w:t>
      </w:r>
      <w:r w:rsidRPr="00EE1D63">
        <w:rPr>
          <w:rFonts w:ascii="Times New Roman" w:hAnsi="Times New Roman"/>
          <w:bCs/>
          <w:sz w:val="24"/>
          <w:szCs w:val="24"/>
          <w:lang w:val="en-ZA"/>
        </w:rPr>
        <w:t xml:space="preserve">2001). </w:t>
      </w:r>
    </w:p>
    <w:p w:rsidR="00EE1D63" w:rsidRPr="00EE1D63" w:rsidRDefault="00EE1D63" w:rsidP="00EE1D63">
      <w:pPr>
        <w:spacing w:line="480" w:lineRule="auto"/>
        <w:jc w:val="both"/>
        <w:rPr>
          <w:rFonts w:ascii="Times New Roman" w:hAnsi="Times New Roman"/>
          <w:bCs/>
          <w:sz w:val="24"/>
          <w:szCs w:val="24"/>
          <w:lang w:val="en-ZA"/>
        </w:rPr>
      </w:pPr>
      <w:r w:rsidRPr="00EE1D63">
        <w:rPr>
          <w:rFonts w:ascii="Times New Roman" w:hAnsi="Times New Roman"/>
          <w:bCs/>
          <w:sz w:val="24"/>
          <w:szCs w:val="24"/>
          <w:lang w:val="en-ZA"/>
        </w:rPr>
        <w:t xml:space="preserve">Instead of proceeding to estimate the equilibrium exchange rate for Botswana using the Engle-Granger two-step technique or the Johansen technique, as has been the case in the previous studies, we use the </w:t>
      </w:r>
      <w:r w:rsidRPr="00EE1D63">
        <w:rPr>
          <w:rFonts w:ascii="Times New Roman" w:hAnsi="Times New Roman"/>
          <w:sz w:val="24"/>
          <w:szCs w:val="24"/>
        </w:rPr>
        <w:t>autoregressive distributed lag</w:t>
      </w:r>
      <w:r w:rsidRPr="00EE1D63">
        <w:rPr>
          <w:rFonts w:ascii="Times New Roman" w:hAnsi="Times New Roman"/>
          <w:bCs/>
          <w:sz w:val="24"/>
          <w:szCs w:val="24"/>
          <w:lang w:val="en-ZA"/>
        </w:rPr>
        <w:t xml:space="preserve"> (ARDL) bounds testing technique, which is shown to perform well in small samples (see </w:t>
      </w:r>
      <w:proofErr w:type="spellStart"/>
      <w:r w:rsidRPr="00EE1D63">
        <w:rPr>
          <w:rFonts w:ascii="Times New Roman" w:hAnsi="Times New Roman"/>
          <w:bCs/>
          <w:sz w:val="24"/>
          <w:szCs w:val="24"/>
          <w:lang w:val="en-ZA"/>
        </w:rPr>
        <w:t>Pesaran</w:t>
      </w:r>
      <w:proofErr w:type="spellEnd"/>
      <w:r w:rsidRPr="00EE1D63">
        <w:rPr>
          <w:rFonts w:ascii="Times New Roman" w:hAnsi="Times New Roman"/>
          <w:bCs/>
          <w:sz w:val="24"/>
          <w:szCs w:val="24"/>
          <w:lang w:val="en-ZA"/>
        </w:rPr>
        <w:t xml:space="preserve"> </w:t>
      </w:r>
      <w:r w:rsidRPr="00EE1D63">
        <w:rPr>
          <w:rFonts w:ascii="Times New Roman" w:hAnsi="Times New Roman"/>
          <w:bCs/>
          <w:i/>
          <w:iCs/>
          <w:sz w:val="24"/>
          <w:szCs w:val="24"/>
          <w:lang w:val="en-ZA"/>
        </w:rPr>
        <w:t>et al.</w:t>
      </w:r>
      <w:r w:rsidRPr="00EE1D63">
        <w:rPr>
          <w:rFonts w:ascii="Times New Roman" w:hAnsi="Times New Roman"/>
          <w:bCs/>
          <w:sz w:val="24"/>
          <w:szCs w:val="24"/>
          <w:lang w:val="en-ZA"/>
        </w:rPr>
        <w:t xml:space="preserve">, 2001). This is another contribution of this paper, in addition to a detailed chronology of exchange rate events that ensued in Botswana from independence to date. To the best of our knowledge, this study is the first of its kind to explore the exchange rate events and provide a solid estimation of the long-run and short-run movements of the exchange rate in Botswana. </w:t>
      </w:r>
    </w:p>
    <w:p w:rsidR="00EE1D63" w:rsidRPr="00EE1D63" w:rsidRDefault="00EE1D63" w:rsidP="00EE1D63">
      <w:pPr>
        <w:spacing w:line="480" w:lineRule="auto"/>
        <w:jc w:val="both"/>
        <w:rPr>
          <w:rFonts w:ascii="Times New Roman" w:hAnsi="Times New Roman"/>
          <w:bCs/>
          <w:sz w:val="24"/>
          <w:szCs w:val="24"/>
          <w:lang w:val="en-ZA"/>
        </w:rPr>
      </w:pPr>
      <w:r w:rsidRPr="00EE1D63">
        <w:rPr>
          <w:rFonts w:ascii="Times New Roman" w:hAnsi="Times New Roman"/>
          <w:bCs/>
          <w:sz w:val="24"/>
          <w:szCs w:val="24"/>
          <w:lang w:val="en-ZA"/>
        </w:rPr>
        <w:t>The next section presents the chronology of the exchange rate events in Botswana from independence to date. In section 3, we provide a brief review of the relevant literature on equilibrium real exchange rate estimation. Section 4 discusses the econometric methodology.  Section 5 reports the results of our estimations, and section 6 provides the concluding remarks.</w:t>
      </w:r>
    </w:p>
    <w:p w:rsidR="00EE1D63" w:rsidRPr="00EE1D63" w:rsidRDefault="00EE1D63" w:rsidP="00EE1D63"/>
    <w:p w:rsidR="00EE1D63" w:rsidRPr="00EE1D63" w:rsidRDefault="00EE1D63" w:rsidP="00EE1D63">
      <w:pPr>
        <w:spacing w:line="480" w:lineRule="auto"/>
        <w:jc w:val="both"/>
        <w:rPr>
          <w:rFonts w:asciiTheme="majorBidi" w:hAnsiTheme="majorBidi" w:cstheme="majorBidi"/>
          <w:b/>
          <w:bCs/>
          <w:sz w:val="24"/>
          <w:szCs w:val="24"/>
        </w:rPr>
      </w:pPr>
      <w:r w:rsidRPr="00EE1D63">
        <w:rPr>
          <w:rFonts w:asciiTheme="majorBidi" w:hAnsiTheme="majorBidi" w:cstheme="majorBidi"/>
          <w:b/>
          <w:bCs/>
          <w:sz w:val="24"/>
          <w:szCs w:val="24"/>
        </w:rPr>
        <w:t>2. The Chronology of Exchange Rate Events in Botswana from Independence to Date</w:t>
      </w:r>
    </w:p>
    <w:p w:rsidR="00EE1D63" w:rsidRPr="00EE1D63" w:rsidRDefault="00EE1D63" w:rsidP="00EE1D63">
      <w:pPr>
        <w:spacing w:line="480" w:lineRule="auto"/>
        <w:jc w:val="both"/>
        <w:rPr>
          <w:rFonts w:asciiTheme="majorBidi" w:hAnsiTheme="majorBidi" w:cstheme="majorBidi"/>
          <w:sz w:val="24"/>
          <w:szCs w:val="24"/>
        </w:rPr>
      </w:pPr>
      <w:r w:rsidRPr="00EE1D63">
        <w:rPr>
          <w:rFonts w:asciiTheme="majorBidi" w:hAnsiTheme="majorBidi" w:cstheme="majorBidi"/>
          <w:sz w:val="24"/>
          <w:szCs w:val="24"/>
        </w:rPr>
        <w:t xml:space="preserve">Botswana was a member of the Rand Monetary Area (also known as the Common Monetary Area) from Independence in 1966 till 1976. Under the Rand Monetary Area framework, the South African rand was the legal tender in Botswana. The rand was pegged against the British </w:t>
      </w:r>
      <w:r w:rsidRPr="00EE1D63">
        <w:rPr>
          <w:rFonts w:asciiTheme="majorBidi" w:hAnsiTheme="majorBidi" w:cstheme="majorBidi"/>
          <w:sz w:val="24"/>
          <w:szCs w:val="24"/>
        </w:rPr>
        <w:lastRenderedPageBreak/>
        <w:t xml:space="preserve">pound and the US dollar (see </w:t>
      </w:r>
      <w:proofErr w:type="spellStart"/>
      <w:r w:rsidRPr="00EE1D63">
        <w:rPr>
          <w:rFonts w:asciiTheme="majorBidi" w:hAnsiTheme="majorBidi" w:cstheme="majorBidi"/>
          <w:sz w:val="24"/>
          <w:szCs w:val="24"/>
        </w:rPr>
        <w:t>Masalila</w:t>
      </w:r>
      <w:proofErr w:type="spellEnd"/>
      <w:r w:rsidRPr="00EE1D63">
        <w:rPr>
          <w:rFonts w:asciiTheme="majorBidi" w:hAnsiTheme="majorBidi" w:cstheme="majorBidi"/>
          <w:sz w:val="24"/>
          <w:szCs w:val="24"/>
        </w:rPr>
        <w:t xml:space="preserve"> and </w:t>
      </w:r>
      <w:proofErr w:type="spellStart"/>
      <w:r w:rsidRPr="00EE1D63">
        <w:rPr>
          <w:rFonts w:asciiTheme="majorBidi" w:hAnsiTheme="majorBidi" w:cstheme="majorBidi"/>
          <w:sz w:val="24"/>
          <w:szCs w:val="24"/>
        </w:rPr>
        <w:t>Motshidi</w:t>
      </w:r>
      <w:proofErr w:type="spellEnd"/>
      <w:r w:rsidRPr="00EE1D63">
        <w:rPr>
          <w:rFonts w:asciiTheme="majorBidi" w:hAnsiTheme="majorBidi" w:cstheme="majorBidi"/>
          <w:sz w:val="24"/>
          <w:szCs w:val="24"/>
        </w:rPr>
        <w:t>, 2003). In 1976, Botswana adopted a fixed exchange regime with adjustable pegs when the Botswana currency, the pula, was introduced as the legal tender. The pula was pegged to the US dollar at 1.15 per dollar in the same year, meaning that the pula was on par with the rand (Bank of Botswana, 2001).</w:t>
      </w:r>
    </w:p>
    <w:p w:rsidR="00EE1D63" w:rsidRPr="00EE1D63" w:rsidRDefault="00EE1D63" w:rsidP="00EE1D63">
      <w:pPr>
        <w:spacing w:line="480" w:lineRule="auto"/>
        <w:jc w:val="both"/>
        <w:rPr>
          <w:rFonts w:asciiTheme="majorBidi" w:hAnsiTheme="majorBidi" w:cstheme="majorBidi"/>
          <w:sz w:val="24"/>
          <w:szCs w:val="24"/>
        </w:rPr>
      </w:pPr>
      <w:r w:rsidRPr="00EE1D63">
        <w:rPr>
          <w:rFonts w:asciiTheme="majorBidi" w:hAnsiTheme="majorBidi" w:cstheme="majorBidi"/>
          <w:sz w:val="24"/>
          <w:szCs w:val="24"/>
        </w:rPr>
        <w:t>The first significant intervention in the foreign exchange market of Botswana took place in April 1977, when the pula was revalued by 5 per cent, in order to control inflation (</w:t>
      </w:r>
      <w:proofErr w:type="spellStart"/>
      <w:r w:rsidRPr="00EE1D63">
        <w:rPr>
          <w:rFonts w:asciiTheme="majorBidi" w:hAnsiTheme="majorBidi" w:cstheme="majorBidi"/>
          <w:sz w:val="24"/>
          <w:szCs w:val="24"/>
        </w:rPr>
        <w:t>Masalila</w:t>
      </w:r>
      <w:proofErr w:type="spellEnd"/>
      <w:r w:rsidRPr="00EE1D63">
        <w:rPr>
          <w:rFonts w:asciiTheme="majorBidi" w:hAnsiTheme="majorBidi" w:cstheme="majorBidi"/>
          <w:sz w:val="24"/>
          <w:szCs w:val="24"/>
        </w:rPr>
        <w:t xml:space="preserve"> and </w:t>
      </w:r>
      <w:proofErr w:type="spellStart"/>
      <w:r w:rsidRPr="00EE1D63">
        <w:rPr>
          <w:rFonts w:asciiTheme="majorBidi" w:hAnsiTheme="majorBidi" w:cstheme="majorBidi"/>
          <w:sz w:val="24"/>
          <w:szCs w:val="24"/>
        </w:rPr>
        <w:t>Motshidi</w:t>
      </w:r>
      <w:proofErr w:type="spellEnd"/>
      <w:r w:rsidRPr="00EE1D63">
        <w:rPr>
          <w:rFonts w:asciiTheme="majorBidi" w:hAnsiTheme="majorBidi" w:cstheme="majorBidi"/>
          <w:sz w:val="24"/>
          <w:szCs w:val="24"/>
        </w:rPr>
        <w:t>, 2003). Also, in June 1980, the pula was unpegged from the US dollar. A currency basket comprising the rand and the Special Drawing Rights (SDR) was introduced for the pula. This was mainly implemented, in order to minimize the volatility between the pula and the rand. In November of the same year, the pula was revalued by 5 per cent by the Bank of Botswana which aimed to contain the imported inflation following the depreciation of the pula against the rand. In May 1982, the Bank of Botswana intervened in the foreign exchange market once more. This time, the pula was devalued by 10 per cent, as a measure to resolve the balance of payment crisis of the period 1981-1982 (see</w:t>
      </w:r>
      <w:r w:rsidRPr="00EE1D63">
        <w:t xml:space="preserve"> </w:t>
      </w:r>
      <w:proofErr w:type="spellStart"/>
      <w:r w:rsidRPr="00EE1D63">
        <w:rPr>
          <w:rFonts w:asciiTheme="majorBidi" w:hAnsiTheme="majorBidi" w:cstheme="majorBidi"/>
          <w:sz w:val="24"/>
          <w:szCs w:val="24"/>
        </w:rPr>
        <w:t>Jefferis</w:t>
      </w:r>
      <w:proofErr w:type="spellEnd"/>
      <w:r w:rsidRPr="00EE1D63">
        <w:rPr>
          <w:rFonts w:asciiTheme="majorBidi" w:hAnsiTheme="majorBidi" w:cstheme="majorBidi"/>
          <w:sz w:val="24"/>
          <w:szCs w:val="24"/>
        </w:rPr>
        <w:t xml:space="preserve"> and Harvey, 1995; </w:t>
      </w:r>
      <w:proofErr w:type="spellStart"/>
      <w:r w:rsidRPr="00EE1D63">
        <w:rPr>
          <w:rFonts w:asciiTheme="majorBidi" w:hAnsiTheme="majorBidi" w:cstheme="majorBidi"/>
          <w:sz w:val="24"/>
          <w:szCs w:val="24"/>
        </w:rPr>
        <w:t>Masalila</w:t>
      </w:r>
      <w:proofErr w:type="spellEnd"/>
      <w:r w:rsidRPr="00EE1D63">
        <w:rPr>
          <w:rFonts w:asciiTheme="majorBidi" w:hAnsiTheme="majorBidi" w:cstheme="majorBidi"/>
          <w:sz w:val="24"/>
          <w:szCs w:val="24"/>
        </w:rPr>
        <w:t xml:space="preserve"> and </w:t>
      </w:r>
      <w:proofErr w:type="spellStart"/>
      <w:r w:rsidRPr="00EE1D63">
        <w:rPr>
          <w:rFonts w:asciiTheme="majorBidi" w:hAnsiTheme="majorBidi" w:cstheme="majorBidi"/>
          <w:sz w:val="24"/>
          <w:szCs w:val="24"/>
        </w:rPr>
        <w:t>Motshidi</w:t>
      </w:r>
      <w:proofErr w:type="spellEnd"/>
      <w:r w:rsidRPr="00EE1D63">
        <w:rPr>
          <w:rFonts w:asciiTheme="majorBidi" w:hAnsiTheme="majorBidi" w:cstheme="majorBidi"/>
          <w:sz w:val="24"/>
          <w:szCs w:val="24"/>
        </w:rPr>
        <w:t>, 2003).</w:t>
      </w:r>
    </w:p>
    <w:p w:rsidR="00EE1D63" w:rsidRPr="00EE1D63" w:rsidRDefault="00EE1D63" w:rsidP="00EE1D63">
      <w:pPr>
        <w:spacing w:line="480" w:lineRule="auto"/>
        <w:jc w:val="both"/>
        <w:rPr>
          <w:rFonts w:asciiTheme="majorBidi" w:hAnsiTheme="majorBidi" w:cstheme="majorBidi"/>
          <w:sz w:val="24"/>
          <w:szCs w:val="24"/>
        </w:rPr>
      </w:pPr>
      <w:r w:rsidRPr="00EE1D63">
        <w:rPr>
          <w:rFonts w:asciiTheme="majorBidi" w:hAnsiTheme="majorBidi" w:cstheme="majorBidi"/>
          <w:sz w:val="24"/>
          <w:szCs w:val="24"/>
        </w:rPr>
        <w:t>The impact of the rand on the pula is very strong. This is because South Africa is the centre of economic activity in Southern Africa; and it is Botswana’s major trade partner. Hence, currencies of surrounding countries, including that of Botswana, depend largely on the movement of the South African rand.</w:t>
      </w:r>
      <w:r w:rsidRPr="00EE1D63">
        <w:rPr>
          <w:rStyle w:val="FootnoteReference"/>
          <w:rFonts w:asciiTheme="majorBidi" w:hAnsiTheme="majorBidi" w:cstheme="majorBidi"/>
          <w:sz w:val="24"/>
          <w:szCs w:val="24"/>
        </w:rPr>
        <w:footnoteReference w:id="3"/>
      </w:r>
      <w:r w:rsidRPr="00EE1D63">
        <w:rPr>
          <w:rFonts w:asciiTheme="majorBidi" w:hAnsiTheme="majorBidi" w:cstheme="majorBidi"/>
          <w:sz w:val="24"/>
          <w:szCs w:val="24"/>
        </w:rPr>
        <w:t xml:space="preserve"> In February 1984, the rand depreciated significantly against the dollar – due to a foreign debt overhung. The pula depreciated significantly against the dollar as a result. The Bank of Botswana decided to undertake another devaluation exercise, in order to enhance the external competitiveness of the country’s export; since the pula had </w:t>
      </w:r>
      <w:r w:rsidRPr="00EE1D63">
        <w:rPr>
          <w:rFonts w:asciiTheme="majorBidi" w:hAnsiTheme="majorBidi" w:cstheme="majorBidi"/>
          <w:sz w:val="24"/>
          <w:szCs w:val="24"/>
        </w:rPr>
        <w:lastRenderedPageBreak/>
        <w:t>experienced a significant appreciation against the rand. Thus, the pula was devalued by 5 per cent against the rand. In August of the same year, the weight of the rand in the pula basket was adjusted by the authorities, in order to maintain a close relation between the rand and the pula. This was then followed by a devaluation exercise in January 1985, when the pula was devalued by 15 per cent. The goal of this devaluation exercise, according to the Bank of Botswana, was to maintain the external competitiveness of the pula (see Government of Botswana, 1985).</w:t>
      </w:r>
    </w:p>
    <w:p w:rsidR="00EE1D63" w:rsidRPr="00EE1D63" w:rsidRDefault="00EE1D63" w:rsidP="00EE1D63">
      <w:pPr>
        <w:spacing w:line="480" w:lineRule="auto"/>
        <w:jc w:val="both"/>
        <w:rPr>
          <w:rFonts w:asciiTheme="majorBidi" w:hAnsiTheme="majorBidi" w:cstheme="majorBidi"/>
          <w:sz w:val="24"/>
          <w:szCs w:val="24"/>
        </w:rPr>
      </w:pPr>
      <w:r w:rsidRPr="00EE1D63">
        <w:rPr>
          <w:rFonts w:asciiTheme="majorBidi" w:hAnsiTheme="majorBidi" w:cstheme="majorBidi"/>
          <w:sz w:val="24"/>
          <w:szCs w:val="24"/>
        </w:rPr>
        <w:t xml:space="preserve">From January 1985 to January 1986, the rand appreciated significantly against the pula. Consequently, the Bank of Botswana reacted by introducing a new pula basket in January 1986, in order to align the pula with the rand. After this intervention, the foreign-exchange market was not tampered with by the Bank of Botswana for at least two years. However, in June 1989, the pula was revalued by 5 per cent to contain imported inflation. The new rate did not last long; as the authorities decided to devalue the rate by 5 per cent in August 1990, and again in August 1991 – in a bid to enhance the external competitiveness of the pula (see </w:t>
      </w:r>
      <w:proofErr w:type="spellStart"/>
      <w:r w:rsidRPr="00EE1D63">
        <w:rPr>
          <w:rFonts w:asciiTheme="majorBidi" w:hAnsiTheme="majorBidi" w:cstheme="majorBidi"/>
          <w:sz w:val="24"/>
          <w:szCs w:val="24"/>
        </w:rPr>
        <w:t>Jefferis</w:t>
      </w:r>
      <w:proofErr w:type="spellEnd"/>
      <w:r w:rsidRPr="00EE1D63">
        <w:rPr>
          <w:rFonts w:asciiTheme="majorBidi" w:hAnsiTheme="majorBidi" w:cstheme="majorBidi"/>
          <w:sz w:val="24"/>
          <w:szCs w:val="24"/>
        </w:rPr>
        <w:t xml:space="preserve"> and Harvey, 1995). In June 1994, the monetary authority of Botswana decided to adjust the weight composition of the pula basket (which contains the SDR and the rand) – but only on technical grounds. According to </w:t>
      </w:r>
      <w:proofErr w:type="spellStart"/>
      <w:r w:rsidRPr="00EE1D63">
        <w:rPr>
          <w:rFonts w:asciiTheme="majorBidi" w:hAnsiTheme="majorBidi" w:cstheme="majorBidi"/>
          <w:sz w:val="24"/>
          <w:szCs w:val="24"/>
        </w:rPr>
        <w:t>Masalila</w:t>
      </w:r>
      <w:proofErr w:type="spellEnd"/>
      <w:r w:rsidRPr="00EE1D63">
        <w:rPr>
          <w:rFonts w:asciiTheme="majorBidi" w:hAnsiTheme="majorBidi" w:cstheme="majorBidi"/>
          <w:sz w:val="24"/>
          <w:szCs w:val="24"/>
        </w:rPr>
        <w:t xml:space="preserve"> and </w:t>
      </w:r>
      <w:proofErr w:type="spellStart"/>
      <w:r w:rsidRPr="00EE1D63">
        <w:rPr>
          <w:rFonts w:asciiTheme="majorBidi" w:hAnsiTheme="majorBidi" w:cstheme="majorBidi"/>
          <w:sz w:val="24"/>
          <w:szCs w:val="24"/>
        </w:rPr>
        <w:t>Motshidisi</w:t>
      </w:r>
      <w:proofErr w:type="spellEnd"/>
      <w:r w:rsidRPr="00EE1D63">
        <w:rPr>
          <w:rFonts w:asciiTheme="majorBidi" w:hAnsiTheme="majorBidi" w:cstheme="majorBidi"/>
          <w:sz w:val="24"/>
          <w:szCs w:val="24"/>
        </w:rPr>
        <w:t xml:space="preserve"> (2003), the rand has been assigned greater weight due to the significant proportion of economic activities, which are rand-denominated. From 1994 to date, Botswana operated a fixed exchange regime, with the pula pegged to a basket of currencies.</w:t>
      </w:r>
    </w:p>
    <w:p w:rsidR="00EE1D63" w:rsidRDefault="00EE1D63" w:rsidP="00EE1D63">
      <w:pPr>
        <w:spacing w:after="0" w:line="480" w:lineRule="auto"/>
        <w:jc w:val="both"/>
        <w:rPr>
          <w:rFonts w:ascii="Times New Roman" w:hAnsi="Times New Roman"/>
          <w:sz w:val="24"/>
          <w:szCs w:val="24"/>
        </w:rPr>
      </w:pPr>
    </w:p>
    <w:p w:rsidR="00EE1D63" w:rsidRDefault="00EE1D63" w:rsidP="00EE1D63">
      <w:pPr>
        <w:spacing w:after="0" w:line="480" w:lineRule="auto"/>
        <w:jc w:val="both"/>
        <w:rPr>
          <w:rFonts w:ascii="Times New Roman" w:hAnsi="Times New Roman"/>
          <w:sz w:val="24"/>
          <w:szCs w:val="24"/>
        </w:rPr>
      </w:pPr>
    </w:p>
    <w:p w:rsidR="00EE1D63" w:rsidRPr="00EE1D63" w:rsidRDefault="00EE1D63" w:rsidP="00EE1D63">
      <w:pPr>
        <w:spacing w:after="0" w:line="480" w:lineRule="auto"/>
        <w:jc w:val="both"/>
        <w:rPr>
          <w:rFonts w:ascii="Times New Roman" w:hAnsi="Times New Roman"/>
          <w:sz w:val="24"/>
          <w:szCs w:val="24"/>
        </w:rPr>
      </w:pPr>
    </w:p>
    <w:p w:rsidR="00EE1D63" w:rsidRPr="00EE1D63" w:rsidRDefault="00EE1D63" w:rsidP="00EE1D63">
      <w:pPr>
        <w:spacing w:line="480" w:lineRule="auto"/>
        <w:jc w:val="both"/>
        <w:rPr>
          <w:rFonts w:ascii="Times New Roman" w:hAnsi="Times New Roman"/>
          <w:b/>
          <w:sz w:val="24"/>
          <w:szCs w:val="24"/>
        </w:rPr>
      </w:pPr>
      <w:r w:rsidRPr="00EE1D63">
        <w:rPr>
          <w:rFonts w:ascii="Times New Roman" w:hAnsi="Times New Roman"/>
          <w:b/>
          <w:sz w:val="24"/>
          <w:szCs w:val="24"/>
        </w:rPr>
        <w:lastRenderedPageBreak/>
        <w:t>3. A Review of Related Literature</w:t>
      </w:r>
    </w:p>
    <w:p w:rsidR="00EE1D63" w:rsidRPr="00EE1D63" w:rsidRDefault="00EE1D63" w:rsidP="00EE1D63">
      <w:pPr>
        <w:autoSpaceDE w:val="0"/>
        <w:autoSpaceDN w:val="0"/>
        <w:adjustRightInd w:val="0"/>
        <w:spacing w:line="480" w:lineRule="auto"/>
        <w:jc w:val="both"/>
        <w:rPr>
          <w:rFonts w:ascii="Times New Roman" w:eastAsia="Times New Roman" w:hAnsi="Times New Roman"/>
          <w:sz w:val="24"/>
          <w:szCs w:val="24"/>
        </w:rPr>
      </w:pPr>
      <w:r w:rsidRPr="00EE1D63">
        <w:rPr>
          <w:rFonts w:ascii="Times New Roman" w:eastAsia="Times New Roman" w:hAnsi="Times New Roman"/>
          <w:sz w:val="24"/>
          <w:szCs w:val="24"/>
        </w:rPr>
        <w:t>A large body of empirical studies has provided alternative measures for the estimation of the equilibrium real exchange rate.  The curious reader is referred to</w:t>
      </w:r>
      <w:r w:rsidRPr="00EE1D63">
        <w:rPr>
          <w:rFonts w:ascii="Letter Gothic" w:eastAsia="Times New Roman" w:hAnsi="Letter Gothic"/>
          <w:sz w:val="20"/>
          <w:szCs w:val="20"/>
        </w:rPr>
        <w:t xml:space="preserve"> </w:t>
      </w:r>
      <w:r w:rsidRPr="00EE1D63">
        <w:rPr>
          <w:rFonts w:ascii="Times New Roman" w:eastAsia="Times New Roman" w:hAnsi="Times New Roman"/>
          <w:sz w:val="24"/>
          <w:szCs w:val="24"/>
        </w:rPr>
        <w:t xml:space="preserve">MacDonald (1995), Rogoff (1996), and Hinkle and </w:t>
      </w:r>
      <w:proofErr w:type="spellStart"/>
      <w:r w:rsidRPr="00EE1D63">
        <w:rPr>
          <w:rFonts w:ascii="Times New Roman" w:eastAsia="Times New Roman" w:hAnsi="Times New Roman"/>
          <w:sz w:val="24"/>
          <w:szCs w:val="24"/>
        </w:rPr>
        <w:t>Montiel</w:t>
      </w:r>
      <w:proofErr w:type="spellEnd"/>
      <w:r w:rsidRPr="00EE1D63">
        <w:rPr>
          <w:rFonts w:ascii="Times New Roman" w:eastAsia="Times New Roman" w:hAnsi="Times New Roman"/>
          <w:sz w:val="24"/>
          <w:szCs w:val="24"/>
        </w:rPr>
        <w:t xml:space="preserve"> (1999) for surveys on the relatively old studies. For the most recent studies, the reader could refer to Lee </w:t>
      </w:r>
      <w:r w:rsidRPr="00EE1D63">
        <w:rPr>
          <w:rFonts w:ascii="Times New Roman" w:eastAsia="Times New Roman" w:hAnsi="Times New Roman"/>
          <w:i/>
          <w:sz w:val="24"/>
          <w:szCs w:val="24"/>
        </w:rPr>
        <w:t>et al.</w:t>
      </w:r>
      <w:r w:rsidRPr="00EE1D63">
        <w:rPr>
          <w:rFonts w:ascii="Times New Roman" w:eastAsia="Times New Roman" w:hAnsi="Times New Roman"/>
          <w:sz w:val="24"/>
          <w:szCs w:val="24"/>
        </w:rPr>
        <w:t xml:space="preserve"> (2008).  A large number of these studies have been very critical on the choice of the purchasing power parity (PPP) procedure for estimating the equilibrium real exchange rate. MacDonald and Ricci (2003) argue, for example, that the PPP model suffers greatly from its slow mean-reverting property to a constant level, which is its implied long-run equilibrium assumption. Quite a number of these studies argue that a better way to estimate the equilibrium exchange rate is to identify macroeconomic drivers of the real exchange rate. The recommendation is that an appropriate model be fitted, within which the dynamic response of the real exchange rate to shocks from these macroeconomic variables can be examined (see </w:t>
      </w:r>
      <w:proofErr w:type="spellStart"/>
      <w:r w:rsidRPr="00EE1D63">
        <w:rPr>
          <w:rFonts w:ascii="Times New Roman" w:eastAsia="Times New Roman" w:hAnsi="Times New Roman"/>
          <w:sz w:val="24"/>
          <w:szCs w:val="24"/>
        </w:rPr>
        <w:t>Montiel</w:t>
      </w:r>
      <w:proofErr w:type="spellEnd"/>
      <w:r w:rsidRPr="00EE1D63">
        <w:rPr>
          <w:rFonts w:ascii="Times New Roman" w:eastAsia="Times New Roman" w:hAnsi="Times New Roman"/>
          <w:sz w:val="24"/>
          <w:szCs w:val="24"/>
        </w:rPr>
        <w:t>, 1999).</w:t>
      </w:r>
    </w:p>
    <w:p w:rsidR="00EE1D63" w:rsidRPr="00EE1D63" w:rsidRDefault="00EE1D63" w:rsidP="00EE1D63">
      <w:pPr>
        <w:autoSpaceDE w:val="0"/>
        <w:autoSpaceDN w:val="0"/>
        <w:adjustRightInd w:val="0"/>
        <w:spacing w:line="480" w:lineRule="auto"/>
        <w:jc w:val="both"/>
        <w:rPr>
          <w:rFonts w:ascii="Times New Roman" w:eastAsia="Times New Roman" w:hAnsi="Times New Roman"/>
          <w:sz w:val="24"/>
          <w:szCs w:val="24"/>
        </w:rPr>
      </w:pPr>
      <w:r w:rsidRPr="00EE1D63">
        <w:rPr>
          <w:rFonts w:ascii="Times New Roman" w:eastAsia="Times New Roman" w:hAnsi="Times New Roman"/>
          <w:sz w:val="24"/>
          <w:szCs w:val="24"/>
        </w:rPr>
        <w:t xml:space="preserve">In the classical setting, the equilibrium exchange rate for a country could be estimated by building and simulating an empirical dynamic macroeconomic model using parametric calibrations and data suitable for that country. In the literature, this approach is known as the general equilibrium approach. </w:t>
      </w:r>
      <w:proofErr w:type="spellStart"/>
      <w:r w:rsidRPr="00EE1D63">
        <w:rPr>
          <w:rFonts w:ascii="Times New Roman" w:eastAsia="Times New Roman" w:hAnsi="Times New Roman"/>
          <w:sz w:val="24"/>
          <w:szCs w:val="24"/>
        </w:rPr>
        <w:t>Montiel</w:t>
      </w:r>
      <w:proofErr w:type="spellEnd"/>
      <w:r w:rsidRPr="00EE1D63">
        <w:rPr>
          <w:rFonts w:ascii="Times New Roman" w:eastAsia="Times New Roman" w:hAnsi="Times New Roman"/>
          <w:sz w:val="24"/>
          <w:szCs w:val="24"/>
        </w:rPr>
        <w:t xml:space="preserve"> (1997) argues that Monte Carlo simulations on the specific policy paths and the exogenous determinants result in consistent steady-state values for the real exchange rate, if an appropriate macroeconomic model is built for a country. Studies that have employed this procedure to examine the exchange rate equilibrium include Clark </w:t>
      </w:r>
      <w:r w:rsidRPr="00EE1D63">
        <w:rPr>
          <w:rFonts w:ascii="Times New Roman" w:eastAsia="Times New Roman" w:hAnsi="Times New Roman"/>
          <w:i/>
          <w:iCs/>
          <w:sz w:val="24"/>
          <w:szCs w:val="24"/>
        </w:rPr>
        <w:t>et al.</w:t>
      </w:r>
      <w:r w:rsidRPr="00EE1D63">
        <w:rPr>
          <w:rFonts w:ascii="Times New Roman" w:eastAsia="Times New Roman" w:hAnsi="Times New Roman"/>
          <w:sz w:val="24"/>
          <w:szCs w:val="24"/>
        </w:rPr>
        <w:t xml:space="preserve"> (1994), Williamson (1994), and Stein </w:t>
      </w:r>
      <w:r w:rsidRPr="00EE1D63">
        <w:rPr>
          <w:rFonts w:ascii="Times New Roman" w:eastAsia="Times New Roman" w:hAnsi="Times New Roman"/>
          <w:i/>
          <w:iCs/>
          <w:sz w:val="24"/>
          <w:szCs w:val="24"/>
        </w:rPr>
        <w:t>et al.</w:t>
      </w:r>
      <w:r w:rsidRPr="00EE1D63">
        <w:rPr>
          <w:rFonts w:ascii="Times New Roman" w:eastAsia="Times New Roman" w:hAnsi="Times New Roman"/>
          <w:sz w:val="24"/>
          <w:szCs w:val="24"/>
        </w:rPr>
        <w:t xml:space="preserve"> (1995).</w:t>
      </w:r>
    </w:p>
    <w:p w:rsidR="00EE1D63" w:rsidRPr="00EE1D63" w:rsidRDefault="00EE1D63" w:rsidP="00EE1D63">
      <w:pPr>
        <w:autoSpaceDE w:val="0"/>
        <w:autoSpaceDN w:val="0"/>
        <w:adjustRightInd w:val="0"/>
        <w:spacing w:line="480" w:lineRule="auto"/>
        <w:jc w:val="both"/>
        <w:rPr>
          <w:rFonts w:ascii="Times New Roman" w:eastAsia="Times New Roman" w:hAnsi="Times New Roman"/>
          <w:sz w:val="24"/>
          <w:szCs w:val="24"/>
        </w:rPr>
      </w:pPr>
      <w:r w:rsidRPr="00EE1D63">
        <w:rPr>
          <w:rFonts w:ascii="Times New Roman" w:eastAsia="Times New Roman" w:hAnsi="Times New Roman"/>
          <w:sz w:val="24"/>
          <w:szCs w:val="24"/>
        </w:rPr>
        <w:lastRenderedPageBreak/>
        <w:t xml:space="preserve">Another approach to estimate the equilibrium exchange rate is the single-equation models and partial-equilibrium models approach. The common technique under this approach is the ‘trade elasticities’ technique, which is a partial-equilibrium technique (see </w:t>
      </w:r>
      <w:proofErr w:type="spellStart"/>
      <w:r w:rsidRPr="00EE1D63">
        <w:rPr>
          <w:rFonts w:ascii="Times New Roman" w:eastAsia="Times New Roman" w:hAnsi="Times New Roman"/>
          <w:sz w:val="24"/>
          <w:szCs w:val="24"/>
        </w:rPr>
        <w:t>Montiel</w:t>
      </w:r>
      <w:proofErr w:type="spellEnd"/>
      <w:r w:rsidRPr="00EE1D63">
        <w:rPr>
          <w:rFonts w:ascii="Times New Roman" w:eastAsia="Times New Roman" w:hAnsi="Times New Roman"/>
          <w:sz w:val="24"/>
          <w:szCs w:val="24"/>
        </w:rPr>
        <w:t xml:space="preserve">, 1999). Driver and Wren-Lewis (1997), for instance, have used this technique to estimate the real exchange rate equilibrium for the G7 countries. </w:t>
      </w:r>
      <w:proofErr w:type="spellStart"/>
      <w:r w:rsidRPr="00EE1D63">
        <w:rPr>
          <w:rFonts w:ascii="Times New Roman" w:eastAsia="Times New Roman" w:hAnsi="Times New Roman"/>
          <w:sz w:val="24"/>
          <w:szCs w:val="24"/>
        </w:rPr>
        <w:t>Ghei</w:t>
      </w:r>
      <w:proofErr w:type="spellEnd"/>
      <w:r w:rsidRPr="00EE1D63">
        <w:rPr>
          <w:rFonts w:ascii="Times New Roman" w:eastAsia="Times New Roman" w:hAnsi="Times New Roman"/>
          <w:sz w:val="24"/>
          <w:szCs w:val="24"/>
        </w:rPr>
        <w:t xml:space="preserve"> and Pritchett (1999) also used this technique in their study. Some researchers have, instead, employed reduced-form equations to estimate the equilibrium real exchange rate. This technique has often required that the fluctuation components of the real exchange rate be removed. A classic study, which employed this technique, was that of Edwards (1994) for a panel of 12 developing countries.</w:t>
      </w:r>
    </w:p>
    <w:p w:rsidR="00EE1D63" w:rsidRPr="00EE1D63" w:rsidRDefault="00EE1D63" w:rsidP="00EE1D63">
      <w:pPr>
        <w:autoSpaceDE w:val="0"/>
        <w:autoSpaceDN w:val="0"/>
        <w:adjustRightInd w:val="0"/>
        <w:spacing w:line="480" w:lineRule="auto"/>
        <w:jc w:val="both"/>
        <w:rPr>
          <w:rFonts w:ascii="Times New Roman" w:eastAsia="Times New Roman" w:hAnsi="Times New Roman"/>
          <w:sz w:val="24"/>
          <w:szCs w:val="24"/>
        </w:rPr>
      </w:pPr>
      <w:r w:rsidRPr="00EE1D63">
        <w:rPr>
          <w:rFonts w:ascii="Times New Roman" w:eastAsia="Times New Roman" w:hAnsi="Times New Roman"/>
          <w:sz w:val="24"/>
          <w:szCs w:val="24"/>
        </w:rPr>
        <w:t xml:space="preserve">The most recent approach draws econometric techniques which sought to gain robust parameter estimates from the non-stationary properties of the macroeconomic determinants of the real exchange rate. This is known as the ‘cointegration approach’ for estimating the equilibrium real exchange rate. Various studies have used the cointegration approach in the recent literature. The key studies are by </w:t>
      </w:r>
      <w:proofErr w:type="spellStart"/>
      <w:r w:rsidRPr="00EE1D63">
        <w:rPr>
          <w:rFonts w:ascii="Times New Roman" w:eastAsia="Times New Roman" w:hAnsi="Times New Roman"/>
          <w:sz w:val="24"/>
          <w:szCs w:val="24"/>
        </w:rPr>
        <w:t>Elbadawi</w:t>
      </w:r>
      <w:proofErr w:type="spellEnd"/>
      <w:r w:rsidRPr="00EE1D63">
        <w:rPr>
          <w:rFonts w:ascii="Times New Roman" w:eastAsia="Times New Roman" w:hAnsi="Times New Roman"/>
          <w:sz w:val="24"/>
          <w:szCs w:val="24"/>
        </w:rPr>
        <w:t xml:space="preserve"> and Soto (1994), Cardenas (1997), </w:t>
      </w:r>
      <w:proofErr w:type="spellStart"/>
      <w:r w:rsidRPr="00EE1D63">
        <w:rPr>
          <w:rFonts w:ascii="Times New Roman" w:eastAsia="Times New Roman" w:hAnsi="Times New Roman"/>
          <w:sz w:val="24"/>
          <w:szCs w:val="24"/>
        </w:rPr>
        <w:t>Montiel</w:t>
      </w:r>
      <w:proofErr w:type="spellEnd"/>
      <w:r w:rsidRPr="00EE1D63">
        <w:rPr>
          <w:rFonts w:ascii="Times New Roman" w:eastAsia="Times New Roman" w:hAnsi="Times New Roman"/>
          <w:sz w:val="24"/>
          <w:szCs w:val="24"/>
        </w:rPr>
        <w:t xml:space="preserve"> (1997), </w:t>
      </w:r>
      <w:proofErr w:type="spellStart"/>
      <w:r w:rsidRPr="00EE1D63">
        <w:rPr>
          <w:rFonts w:ascii="Times New Roman" w:eastAsia="Times New Roman" w:hAnsi="Times New Roman"/>
          <w:sz w:val="24"/>
          <w:szCs w:val="24"/>
        </w:rPr>
        <w:t>Loayza</w:t>
      </w:r>
      <w:proofErr w:type="spellEnd"/>
      <w:r w:rsidRPr="00EE1D63">
        <w:rPr>
          <w:rFonts w:ascii="Times New Roman" w:eastAsia="Times New Roman" w:hAnsi="Times New Roman"/>
          <w:sz w:val="24"/>
          <w:szCs w:val="24"/>
        </w:rPr>
        <w:t xml:space="preserve"> and Lopez (1997), Aron </w:t>
      </w:r>
      <w:r w:rsidRPr="00EE1D63">
        <w:rPr>
          <w:rFonts w:ascii="Times New Roman" w:eastAsia="Times New Roman" w:hAnsi="Times New Roman"/>
          <w:i/>
          <w:iCs/>
          <w:sz w:val="24"/>
          <w:szCs w:val="24"/>
        </w:rPr>
        <w:t>et al.</w:t>
      </w:r>
      <w:r w:rsidRPr="00EE1D63">
        <w:rPr>
          <w:rFonts w:ascii="Times New Roman" w:eastAsia="Times New Roman" w:hAnsi="Times New Roman"/>
          <w:sz w:val="24"/>
          <w:szCs w:val="24"/>
        </w:rPr>
        <w:t xml:space="preserve"> (2000), MacDonald and Ricci (2003), and Iman and Minoiu (2011).</w:t>
      </w:r>
    </w:p>
    <w:p w:rsidR="00EE1D63" w:rsidRPr="00EE1D63" w:rsidRDefault="00EE1D63" w:rsidP="00EE1D63">
      <w:pPr>
        <w:spacing w:line="360" w:lineRule="auto"/>
        <w:contextualSpacing/>
        <w:jc w:val="both"/>
        <w:rPr>
          <w:rFonts w:asciiTheme="majorBidi" w:hAnsiTheme="majorBidi" w:cstheme="majorBidi"/>
          <w:sz w:val="24"/>
          <w:szCs w:val="24"/>
        </w:rPr>
      </w:pPr>
      <w:r w:rsidRPr="00EE1D63">
        <w:rPr>
          <w:rFonts w:ascii="Times New Roman" w:eastAsia="Times New Roman" w:hAnsi="Times New Roman"/>
          <w:sz w:val="24"/>
          <w:szCs w:val="24"/>
        </w:rPr>
        <w:t xml:space="preserve">This paper favours the </w:t>
      </w:r>
      <w:r w:rsidRPr="00EE1D63">
        <w:rPr>
          <w:rFonts w:ascii="Times New Roman" w:hAnsi="Times New Roman"/>
          <w:bCs/>
          <w:sz w:val="24"/>
          <w:szCs w:val="24"/>
          <w:lang w:val="en-ZA"/>
        </w:rPr>
        <w:t xml:space="preserve">behavioural equilibrium exchange rate (BEER) approach as proposed in Clark and MacDonald (1999). Thus, we can utilize cointegration analysis to assess the real exchange rate and its determinants. </w:t>
      </w:r>
      <w:r w:rsidRPr="00EE1D63">
        <w:rPr>
          <w:rFonts w:ascii="Times New Roman" w:eastAsia="Times New Roman" w:hAnsi="Times New Roman"/>
          <w:sz w:val="24"/>
          <w:szCs w:val="24"/>
        </w:rPr>
        <w:t>The main motivation for choosing this approach is that we are able to</w:t>
      </w:r>
      <w:r w:rsidRPr="00EE1D63">
        <w:rPr>
          <w:rFonts w:ascii="Times New Roman" w:hAnsi="Times New Roman"/>
          <w:bCs/>
          <w:sz w:val="24"/>
          <w:szCs w:val="24"/>
          <w:lang w:val="en-ZA"/>
        </w:rPr>
        <w:t xml:space="preserve"> </w:t>
      </w:r>
      <w:r w:rsidRPr="00EE1D63">
        <w:rPr>
          <w:rFonts w:ascii="Times New Roman" w:eastAsia="Times New Roman" w:hAnsi="Times New Roman"/>
          <w:sz w:val="24"/>
          <w:szCs w:val="24"/>
        </w:rPr>
        <w:t xml:space="preserve">capture any short-run fluctuations in the movement of the real exchange </w:t>
      </w:r>
      <w:r w:rsidRPr="00EE1D63">
        <w:rPr>
          <w:rFonts w:asciiTheme="majorBidi" w:eastAsia="Times New Roman" w:hAnsiTheme="majorBidi" w:cstheme="majorBidi"/>
          <w:sz w:val="24"/>
          <w:szCs w:val="24"/>
        </w:rPr>
        <w:t>rate; and thus, this represents what is, indeed, observed in reality.</w:t>
      </w:r>
      <w:r w:rsidRPr="00EE1D63">
        <w:rPr>
          <w:rFonts w:asciiTheme="majorBidi" w:hAnsiTheme="majorBidi" w:cstheme="majorBidi"/>
          <w:sz w:val="24"/>
          <w:szCs w:val="24"/>
        </w:rPr>
        <w:t xml:space="preserve"> </w:t>
      </w:r>
      <w:r w:rsidRPr="00EE1D63">
        <w:rPr>
          <w:rFonts w:ascii="Times New Roman" w:eastAsia="Times New Roman" w:hAnsi="Times New Roman"/>
          <w:sz w:val="24"/>
          <w:szCs w:val="24"/>
        </w:rPr>
        <w:t xml:space="preserve">The studies which have used this approach have identified a number of macroeconomic drivers of the real exchange rate. The most common macroeconomic variables are: world commodity prices (see </w:t>
      </w:r>
      <w:proofErr w:type="spellStart"/>
      <w:r w:rsidRPr="00EE1D63">
        <w:rPr>
          <w:rFonts w:ascii="Times New Roman" w:eastAsia="Times New Roman" w:hAnsi="Times New Roman"/>
          <w:sz w:val="24"/>
          <w:szCs w:val="24"/>
        </w:rPr>
        <w:t>Cashin</w:t>
      </w:r>
      <w:proofErr w:type="spellEnd"/>
      <w:r w:rsidRPr="00EE1D63">
        <w:rPr>
          <w:rFonts w:ascii="Times New Roman" w:eastAsia="Times New Roman" w:hAnsi="Times New Roman"/>
          <w:sz w:val="24"/>
          <w:szCs w:val="24"/>
        </w:rPr>
        <w:t xml:space="preserve"> </w:t>
      </w:r>
      <w:r w:rsidRPr="00EE1D63">
        <w:rPr>
          <w:rFonts w:ascii="Times New Roman" w:eastAsia="Times New Roman" w:hAnsi="Times New Roman"/>
          <w:i/>
          <w:iCs/>
          <w:sz w:val="24"/>
          <w:szCs w:val="24"/>
        </w:rPr>
        <w:t>et al.</w:t>
      </w:r>
      <w:r w:rsidRPr="00EE1D63">
        <w:rPr>
          <w:rFonts w:ascii="Times New Roman" w:eastAsia="Times New Roman" w:hAnsi="Times New Roman"/>
          <w:sz w:val="24"/>
          <w:szCs w:val="24"/>
        </w:rPr>
        <w:t xml:space="preserve">, 2002; Chen and Rogoff, 2002; MacDonald, 2002; MacDonald and Ricci, 2003), terms of trade (see </w:t>
      </w:r>
      <w:proofErr w:type="spellStart"/>
      <w:r w:rsidRPr="00EE1D63">
        <w:rPr>
          <w:rFonts w:ascii="Times New Roman" w:eastAsia="Times New Roman" w:hAnsi="Times New Roman"/>
          <w:sz w:val="24"/>
          <w:szCs w:val="24"/>
        </w:rPr>
        <w:t>Montiel</w:t>
      </w:r>
      <w:proofErr w:type="spellEnd"/>
      <w:r w:rsidRPr="00EE1D63">
        <w:rPr>
          <w:rFonts w:ascii="Times New Roman" w:eastAsia="Times New Roman" w:hAnsi="Times New Roman"/>
          <w:sz w:val="24"/>
          <w:szCs w:val="24"/>
        </w:rPr>
        <w:t xml:space="preserve">, 1997; </w:t>
      </w:r>
      <w:proofErr w:type="spellStart"/>
      <w:r w:rsidRPr="00EE1D63">
        <w:rPr>
          <w:rFonts w:ascii="Times New Roman" w:eastAsia="Times New Roman" w:hAnsi="Times New Roman"/>
          <w:sz w:val="24"/>
          <w:szCs w:val="24"/>
        </w:rPr>
        <w:t>Goldfajn</w:t>
      </w:r>
      <w:proofErr w:type="spellEnd"/>
      <w:r w:rsidRPr="00EE1D63">
        <w:rPr>
          <w:rFonts w:ascii="Times New Roman" w:eastAsia="Times New Roman" w:hAnsi="Times New Roman"/>
          <w:sz w:val="24"/>
          <w:szCs w:val="24"/>
        </w:rPr>
        <w:t xml:space="preserve"> and Valdes, 1999; Imam and Minoiu, 2011), government consumption or </w:t>
      </w:r>
      <w:r w:rsidRPr="00EE1D63">
        <w:rPr>
          <w:rFonts w:ascii="Times New Roman" w:eastAsia="Times New Roman" w:hAnsi="Times New Roman"/>
          <w:sz w:val="24"/>
          <w:szCs w:val="24"/>
        </w:rPr>
        <w:lastRenderedPageBreak/>
        <w:t xml:space="preserve">spending (see De Gregorio </w:t>
      </w:r>
      <w:r w:rsidRPr="00EE1D63">
        <w:rPr>
          <w:rFonts w:ascii="Times New Roman" w:eastAsia="Times New Roman" w:hAnsi="Times New Roman"/>
          <w:i/>
          <w:iCs/>
          <w:sz w:val="24"/>
          <w:szCs w:val="24"/>
        </w:rPr>
        <w:t>et al.</w:t>
      </w:r>
      <w:r w:rsidRPr="00EE1D63">
        <w:rPr>
          <w:rFonts w:ascii="Times New Roman" w:eastAsia="Times New Roman" w:hAnsi="Times New Roman"/>
          <w:sz w:val="24"/>
          <w:szCs w:val="24"/>
        </w:rPr>
        <w:t xml:space="preserve">, 1994; </w:t>
      </w:r>
      <w:proofErr w:type="spellStart"/>
      <w:r w:rsidRPr="00EE1D63">
        <w:rPr>
          <w:rFonts w:ascii="Times New Roman" w:eastAsia="Times New Roman" w:hAnsi="Times New Roman"/>
          <w:sz w:val="24"/>
          <w:szCs w:val="24"/>
        </w:rPr>
        <w:t>Montiel</w:t>
      </w:r>
      <w:proofErr w:type="spellEnd"/>
      <w:r w:rsidRPr="00EE1D63">
        <w:rPr>
          <w:rFonts w:ascii="Times New Roman" w:eastAsia="Times New Roman" w:hAnsi="Times New Roman"/>
          <w:sz w:val="24"/>
          <w:szCs w:val="24"/>
        </w:rPr>
        <w:t xml:space="preserve">, 1997; MacDonald and Ricci, 2003; Imam and Minoiu, 2011), size of the net foreign assets (see Lane and </w:t>
      </w:r>
      <w:proofErr w:type="spellStart"/>
      <w:r w:rsidRPr="00EE1D63">
        <w:rPr>
          <w:rFonts w:ascii="Times New Roman" w:eastAsia="Times New Roman" w:hAnsi="Times New Roman"/>
          <w:sz w:val="24"/>
          <w:szCs w:val="24"/>
        </w:rPr>
        <w:t>Milesti</w:t>
      </w:r>
      <w:proofErr w:type="spellEnd"/>
      <w:r w:rsidRPr="00EE1D63">
        <w:rPr>
          <w:rFonts w:ascii="Times New Roman" w:eastAsia="Times New Roman" w:hAnsi="Times New Roman"/>
          <w:sz w:val="24"/>
          <w:szCs w:val="24"/>
        </w:rPr>
        <w:t xml:space="preserve">-Ferretti, 2000; MacDonald and Ricci, 2003; Imam and Minoiu, 2011), and trade openness (see </w:t>
      </w:r>
      <w:proofErr w:type="spellStart"/>
      <w:r w:rsidRPr="00EE1D63">
        <w:rPr>
          <w:rFonts w:ascii="Times New Roman" w:eastAsia="Times New Roman" w:hAnsi="Times New Roman"/>
          <w:sz w:val="24"/>
          <w:szCs w:val="24"/>
        </w:rPr>
        <w:t>Montiel</w:t>
      </w:r>
      <w:proofErr w:type="spellEnd"/>
      <w:r w:rsidRPr="00EE1D63">
        <w:rPr>
          <w:rFonts w:ascii="Times New Roman" w:eastAsia="Times New Roman" w:hAnsi="Times New Roman"/>
          <w:sz w:val="24"/>
          <w:szCs w:val="24"/>
        </w:rPr>
        <w:t xml:space="preserve">, 1997; MacDonald and Ricci, 2003; Imam and Minoiu, 2011). These are the variables employed in this study. One crucial variable, the growth of the world economy, is included in the estimation. This study is, perhaps, the first to include this variable. This inclusion of the growth of the world economy in this estimation is motivated by the fact that real exchange rates, especially in more open economies, are known to respond to the performance of the global economy. This is in line with the gravity model of international trade, which predicts increasing bilateral trade flows between countries, especially during global economic expansions (see </w:t>
      </w:r>
      <w:proofErr w:type="spellStart"/>
      <w:r w:rsidRPr="00EE1D63">
        <w:rPr>
          <w:rFonts w:ascii="Times New Roman" w:eastAsia="Times New Roman" w:hAnsi="Times New Roman"/>
          <w:sz w:val="24"/>
          <w:szCs w:val="24"/>
        </w:rPr>
        <w:t>Isard</w:t>
      </w:r>
      <w:proofErr w:type="spellEnd"/>
      <w:r w:rsidRPr="00EE1D63">
        <w:rPr>
          <w:rFonts w:ascii="Times New Roman" w:eastAsia="Times New Roman" w:hAnsi="Times New Roman"/>
          <w:sz w:val="24"/>
          <w:szCs w:val="24"/>
        </w:rPr>
        <w:t xml:space="preserve">, 1954). </w:t>
      </w:r>
    </w:p>
    <w:p w:rsidR="00EE1D63" w:rsidRPr="00EE1D63" w:rsidRDefault="00EE1D63" w:rsidP="00EE1D63">
      <w:pPr>
        <w:autoSpaceDE w:val="0"/>
        <w:autoSpaceDN w:val="0"/>
        <w:adjustRightInd w:val="0"/>
        <w:spacing w:after="0" w:line="480" w:lineRule="auto"/>
        <w:jc w:val="both"/>
        <w:rPr>
          <w:rFonts w:ascii="Times New Roman" w:eastAsia="Times New Roman" w:hAnsi="Times New Roman"/>
          <w:sz w:val="24"/>
          <w:szCs w:val="24"/>
        </w:rPr>
      </w:pPr>
    </w:p>
    <w:p w:rsidR="00EE1D63" w:rsidRPr="00EE1D63" w:rsidRDefault="00EE1D63" w:rsidP="00EE1D63">
      <w:pPr>
        <w:spacing w:line="480" w:lineRule="auto"/>
        <w:jc w:val="both"/>
        <w:rPr>
          <w:rFonts w:ascii="Times New Roman" w:hAnsi="Times New Roman"/>
          <w:b/>
          <w:sz w:val="24"/>
          <w:szCs w:val="24"/>
        </w:rPr>
      </w:pPr>
      <w:r w:rsidRPr="00EE1D63">
        <w:rPr>
          <w:rFonts w:ascii="Times New Roman" w:hAnsi="Times New Roman"/>
          <w:b/>
          <w:sz w:val="24"/>
          <w:szCs w:val="24"/>
        </w:rPr>
        <w:t>4. The Econometric Technique</w:t>
      </w:r>
    </w:p>
    <w:p w:rsidR="00EE1D63" w:rsidRPr="00EE1D63" w:rsidRDefault="00EE1D63" w:rsidP="00EE1D63">
      <w:pPr>
        <w:spacing w:line="480" w:lineRule="auto"/>
        <w:jc w:val="both"/>
        <w:rPr>
          <w:rFonts w:ascii="Times New Roman" w:hAnsi="Times New Roman"/>
          <w:sz w:val="24"/>
          <w:szCs w:val="24"/>
        </w:rPr>
      </w:pPr>
      <w:r w:rsidRPr="00EE1D63">
        <w:rPr>
          <w:rFonts w:ascii="Times New Roman" w:eastAsia="Times New Roman" w:hAnsi="Times New Roman"/>
          <w:sz w:val="24"/>
          <w:szCs w:val="24"/>
        </w:rPr>
        <w:t xml:space="preserve">This paper uses the autoregressive distributed lag (ARDL) bounds testing procedure advanced by </w:t>
      </w:r>
      <w:proofErr w:type="spellStart"/>
      <w:r w:rsidRPr="00EE1D63">
        <w:rPr>
          <w:rFonts w:ascii="Times New Roman" w:eastAsia="Times New Roman" w:hAnsi="Times New Roman"/>
          <w:sz w:val="24"/>
          <w:szCs w:val="24"/>
        </w:rPr>
        <w:t>Pesaran</w:t>
      </w:r>
      <w:proofErr w:type="spellEnd"/>
      <w:r w:rsidRPr="00EE1D63">
        <w:rPr>
          <w:rFonts w:ascii="Times New Roman" w:eastAsia="Times New Roman" w:hAnsi="Times New Roman"/>
          <w:sz w:val="24"/>
          <w:szCs w:val="24"/>
        </w:rPr>
        <w:t xml:space="preserve"> </w:t>
      </w:r>
      <w:r w:rsidRPr="00EE1D63">
        <w:rPr>
          <w:rFonts w:ascii="Times New Roman" w:eastAsia="Times New Roman" w:hAnsi="Times New Roman"/>
          <w:i/>
          <w:iCs/>
          <w:sz w:val="24"/>
          <w:szCs w:val="24"/>
        </w:rPr>
        <w:t xml:space="preserve">et al. </w:t>
      </w:r>
      <w:r w:rsidRPr="00EE1D63">
        <w:rPr>
          <w:rFonts w:ascii="Times New Roman" w:eastAsia="Times New Roman" w:hAnsi="Times New Roman"/>
          <w:sz w:val="24"/>
          <w:szCs w:val="24"/>
        </w:rPr>
        <w:t xml:space="preserve">(1996), </w:t>
      </w:r>
      <w:proofErr w:type="spellStart"/>
      <w:r w:rsidRPr="00EE1D63">
        <w:rPr>
          <w:rFonts w:ascii="Times New Roman" w:eastAsia="Times New Roman" w:hAnsi="Times New Roman"/>
          <w:sz w:val="24"/>
          <w:szCs w:val="24"/>
        </w:rPr>
        <w:t>Pesaran</w:t>
      </w:r>
      <w:proofErr w:type="spellEnd"/>
      <w:r w:rsidRPr="00EE1D63">
        <w:rPr>
          <w:rFonts w:ascii="Times New Roman" w:eastAsia="Times New Roman" w:hAnsi="Times New Roman"/>
          <w:sz w:val="24"/>
          <w:szCs w:val="24"/>
        </w:rPr>
        <w:t xml:space="preserve"> and Shin (1999), and </w:t>
      </w:r>
      <w:proofErr w:type="spellStart"/>
      <w:r w:rsidRPr="00EE1D63">
        <w:rPr>
          <w:rFonts w:ascii="Times New Roman" w:eastAsia="Times New Roman" w:hAnsi="Times New Roman"/>
          <w:sz w:val="24"/>
          <w:szCs w:val="24"/>
        </w:rPr>
        <w:t>Pesaran</w:t>
      </w:r>
      <w:proofErr w:type="spellEnd"/>
      <w:r w:rsidRPr="00EE1D63">
        <w:rPr>
          <w:rFonts w:ascii="Times New Roman" w:eastAsia="Times New Roman" w:hAnsi="Times New Roman"/>
          <w:sz w:val="24"/>
          <w:szCs w:val="24"/>
        </w:rPr>
        <w:t xml:space="preserve"> </w:t>
      </w:r>
      <w:r w:rsidRPr="00EE1D63">
        <w:rPr>
          <w:rFonts w:ascii="Times New Roman" w:eastAsia="Times New Roman" w:hAnsi="Times New Roman"/>
          <w:i/>
          <w:iCs/>
          <w:sz w:val="24"/>
          <w:szCs w:val="24"/>
        </w:rPr>
        <w:t>et al.</w:t>
      </w:r>
      <w:r w:rsidRPr="00EE1D63">
        <w:rPr>
          <w:rFonts w:ascii="Times New Roman" w:eastAsia="Times New Roman" w:hAnsi="Times New Roman"/>
          <w:sz w:val="24"/>
          <w:szCs w:val="24"/>
        </w:rPr>
        <w:t xml:space="preserve"> (2001) to investigate the long-run relationships between the real exchange rate and its determinants. </w:t>
      </w:r>
      <w:r w:rsidRPr="00EE1D63">
        <w:rPr>
          <w:rFonts w:ascii="Times New Roman" w:hAnsi="Times New Roman"/>
          <w:sz w:val="24"/>
          <w:szCs w:val="24"/>
        </w:rPr>
        <w:t>This procedure is preferred to other procedures because: (</w:t>
      </w:r>
      <w:proofErr w:type="spellStart"/>
      <w:r w:rsidRPr="00EE1D63">
        <w:rPr>
          <w:rFonts w:ascii="Times New Roman" w:hAnsi="Times New Roman"/>
          <w:sz w:val="24"/>
          <w:szCs w:val="24"/>
        </w:rPr>
        <w:t>i</w:t>
      </w:r>
      <w:proofErr w:type="spellEnd"/>
      <w:r w:rsidRPr="00EE1D63">
        <w:rPr>
          <w:rFonts w:ascii="Times New Roman" w:hAnsi="Times New Roman"/>
          <w:sz w:val="24"/>
          <w:szCs w:val="24"/>
        </w:rPr>
        <w:t>) It can be applied, whether the time series are integrated of order zero, one, or a mixture of both; and (ii) it has better finite sample properties.</w:t>
      </w:r>
      <w:r w:rsidRPr="00EE1D63">
        <w:rPr>
          <w:rStyle w:val="FootnoteReference"/>
          <w:sz w:val="24"/>
          <w:szCs w:val="24"/>
        </w:rPr>
        <w:footnoteReference w:id="4"/>
      </w:r>
      <w:r w:rsidRPr="00EE1D63">
        <w:rPr>
          <w:rFonts w:ascii="Times New Roman" w:hAnsi="Times New Roman"/>
          <w:sz w:val="24"/>
          <w:szCs w:val="24"/>
        </w:rPr>
        <w:t xml:space="preserve"> </w:t>
      </w:r>
    </w:p>
    <w:p w:rsidR="00EE1D63" w:rsidRPr="00EE1D63" w:rsidRDefault="00EE1D63" w:rsidP="00EE1D63">
      <w:pPr>
        <w:spacing w:line="480" w:lineRule="auto"/>
        <w:jc w:val="both"/>
        <w:rPr>
          <w:rFonts w:ascii="Times New Roman" w:hAnsi="Times New Roman"/>
          <w:sz w:val="24"/>
          <w:szCs w:val="24"/>
        </w:rPr>
      </w:pPr>
      <w:r w:rsidRPr="00EE1D63">
        <w:rPr>
          <w:rFonts w:ascii="Times New Roman" w:hAnsi="Times New Roman"/>
          <w:sz w:val="24"/>
          <w:szCs w:val="24"/>
        </w:rPr>
        <w:t xml:space="preserve">The ARDL bounds testing procedure requires that we employ the following general </w:t>
      </w:r>
      <m:oMath>
        <m:r>
          <w:rPr>
            <w:rFonts w:ascii="Cambria Math" w:hAnsi="Cambria Math"/>
            <w:sz w:val="24"/>
            <w:szCs w:val="24"/>
          </w:rPr>
          <m:t>ARDL</m:t>
        </m:r>
      </m:oMath>
      <w:r w:rsidRPr="00EE1D63">
        <w:rPr>
          <w:rFonts w:ascii="Times New Roman" w:eastAsiaTheme="minorEastAsia" w:hAnsi="Times New Roman"/>
          <w:sz w:val="24"/>
          <w:szCs w:val="24"/>
        </w:rPr>
        <w:t xml:space="preserve"> </w:t>
      </w:r>
      <w:r w:rsidRPr="00EE1D63">
        <w:rPr>
          <w:rFonts w:ascii="Times New Roman" w:hAnsi="Times New Roman"/>
          <w:sz w:val="24"/>
          <w:szCs w:val="24"/>
        </w:rPr>
        <w:t>equation, in terms of our variables:</w:t>
      </w:r>
    </w:p>
    <w:p w:rsidR="00EE1D63" w:rsidRPr="00EE1D63" w:rsidRDefault="00EE1D63" w:rsidP="00EE1D63">
      <w:pPr>
        <w:spacing w:line="480" w:lineRule="auto"/>
        <w:jc w:val="both"/>
        <w:rPr>
          <w:rFonts w:ascii="Times New Roman" w:hAnsi="Times New Roman"/>
          <w:sz w:val="24"/>
          <w:szCs w:val="24"/>
        </w:rPr>
      </w:pPr>
      <m:oMathPara>
        <m:oMath>
          <m:r>
            <w:rPr>
              <w:rFonts w:ascii="Cambria Math" w:hAnsi="Cambria Math"/>
              <w:sz w:val="18"/>
              <w:szCs w:val="18"/>
            </w:rPr>
            <m:t>∆ln</m:t>
          </m:r>
          <m:sSub>
            <m:sSubPr>
              <m:ctrlPr>
                <w:rPr>
                  <w:rFonts w:ascii="Cambria Math" w:hAnsi="Cambria Math"/>
                  <w:i/>
                  <w:sz w:val="18"/>
                  <w:szCs w:val="18"/>
                </w:rPr>
              </m:ctrlPr>
            </m:sSubPr>
            <m:e>
              <m:r>
                <w:rPr>
                  <w:rFonts w:ascii="Cambria Math" w:hAnsi="Cambria Math"/>
                  <w:sz w:val="18"/>
                  <w:szCs w:val="18"/>
                </w:rPr>
                <m:t>REER</m:t>
              </m:r>
            </m:e>
            <m:sub>
              <m:r>
                <w:rPr>
                  <w:rFonts w:ascii="Cambria Math" w:hAnsi="Cambria Math"/>
                  <w:sz w:val="18"/>
                  <w:szCs w:val="18"/>
                </w:rPr>
                <m:t>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0</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1i</m:t>
                  </m:r>
                </m:sub>
              </m:sSub>
            </m:e>
          </m:nary>
          <m:r>
            <w:rPr>
              <w:rFonts w:ascii="Cambria Math" w:hAnsi="Cambria Math"/>
              <w:sz w:val="18"/>
              <w:szCs w:val="18"/>
            </w:rPr>
            <m:t>∆ln</m:t>
          </m:r>
          <m:sSub>
            <m:sSubPr>
              <m:ctrlPr>
                <w:rPr>
                  <w:rFonts w:ascii="Cambria Math" w:hAnsi="Cambria Math"/>
                  <w:i/>
                  <w:sz w:val="18"/>
                  <w:szCs w:val="18"/>
                </w:rPr>
              </m:ctrlPr>
            </m:sSubPr>
            <m:e>
              <m:r>
                <w:rPr>
                  <w:rFonts w:ascii="Cambria Math" w:hAnsi="Cambria Math"/>
                  <w:sz w:val="18"/>
                  <w:szCs w:val="18"/>
                </w:rPr>
                <m:t>REER</m:t>
              </m:r>
            </m:e>
            <m:sub>
              <m:r>
                <w:rPr>
                  <w:rFonts w:ascii="Cambria Math" w:hAnsi="Cambria Math"/>
                  <w:sz w:val="18"/>
                  <w:szCs w:val="18"/>
                </w:rPr>
                <m:t>t-i</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i=0</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2i</m:t>
                  </m:r>
                </m:sub>
              </m:sSub>
            </m:e>
          </m:nary>
          <m:r>
            <w:rPr>
              <w:rFonts w:ascii="Cambria Math" w:hAnsi="Cambria Math"/>
              <w:sz w:val="18"/>
              <w:szCs w:val="18"/>
            </w:rPr>
            <m:t>∆ln</m:t>
          </m:r>
          <m:sSub>
            <m:sSubPr>
              <m:ctrlPr>
                <w:rPr>
                  <w:rFonts w:ascii="Cambria Math" w:hAnsi="Cambria Math"/>
                  <w:i/>
                  <w:sz w:val="18"/>
                  <w:szCs w:val="18"/>
                </w:rPr>
              </m:ctrlPr>
            </m:sSubPr>
            <m:e>
              <m:r>
                <w:rPr>
                  <w:rFonts w:ascii="Cambria Math" w:hAnsi="Cambria Math"/>
                  <w:sz w:val="18"/>
                  <w:szCs w:val="18"/>
                </w:rPr>
                <m:t>TOT</m:t>
              </m:r>
            </m:e>
            <m:sub>
              <m:r>
                <w:rPr>
                  <w:rFonts w:ascii="Cambria Math" w:hAnsi="Cambria Math"/>
                  <w:sz w:val="18"/>
                  <w:szCs w:val="18"/>
                </w:rPr>
                <m:t>t-i</m:t>
              </m:r>
            </m:sub>
          </m:sSub>
          <m:r>
            <w:rPr>
              <w:rFonts w:ascii="Cambria Math" w:eastAsiaTheme="minorEastAsia"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i=0</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3i</m:t>
                  </m:r>
                </m:sub>
              </m:sSub>
            </m:e>
          </m:nary>
          <m:r>
            <w:rPr>
              <w:rFonts w:ascii="Cambria Math" w:hAnsi="Cambria Math"/>
              <w:sz w:val="18"/>
              <w:szCs w:val="18"/>
            </w:rPr>
            <m:t>∆ln</m:t>
          </m:r>
          <m:sSub>
            <m:sSubPr>
              <m:ctrlPr>
                <w:rPr>
                  <w:rFonts w:ascii="Cambria Math" w:hAnsi="Cambria Math"/>
                  <w:i/>
                  <w:sz w:val="18"/>
                  <w:szCs w:val="18"/>
                </w:rPr>
              </m:ctrlPr>
            </m:sSubPr>
            <m:e>
              <m:r>
                <w:rPr>
                  <w:rFonts w:ascii="Cambria Math" w:hAnsi="Cambria Math"/>
                  <w:sz w:val="18"/>
                  <w:szCs w:val="18"/>
                </w:rPr>
                <m:t>OPEN</m:t>
              </m:r>
            </m:e>
            <m:sub>
              <m:r>
                <w:rPr>
                  <w:rFonts w:ascii="Cambria Math" w:hAnsi="Cambria Math"/>
                  <w:sz w:val="18"/>
                  <w:szCs w:val="18"/>
                </w:rPr>
                <m:t>t-i</m:t>
              </m:r>
            </m:sub>
          </m:sSub>
          <m:r>
            <w:rPr>
              <w:rFonts w:ascii="Cambria Math" w:eastAsiaTheme="minorEastAsia"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i=0</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4i</m:t>
                  </m:r>
                </m:sub>
              </m:sSub>
            </m:e>
          </m:nary>
          <m:r>
            <w:rPr>
              <w:rFonts w:ascii="Cambria Math" w:hAnsi="Cambria Math"/>
              <w:sz w:val="18"/>
              <w:szCs w:val="18"/>
            </w:rPr>
            <m:t>∆ln</m:t>
          </m:r>
          <m:sSub>
            <m:sSubPr>
              <m:ctrlPr>
                <w:rPr>
                  <w:rFonts w:ascii="Cambria Math" w:hAnsi="Cambria Math"/>
                  <w:i/>
                  <w:sz w:val="18"/>
                  <w:szCs w:val="18"/>
                </w:rPr>
              </m:ctrlPr>
            </m:sSubPr>
            <m:e>
              <m:r>
                <w:rPr>
                  <w:rFonts w:ascii="Cambria Math" w:hAnsi="Cambria Math"/>
                  <w:sz w:val="18"/>
                  <w:szCs w:val="18"/>
                </w:rPr>
                <m:t>GCR</m:t>
              </m:r>
            </m:e>
            <m:sub>
              <m:r>
                <w:rPr>
                  <w:rFonts w:ascii="Cambria Math" w:hAnsi="Cambria Math"/>
                  <w:sz w:val="18"/>
                  <w:szCs w:val="18"/>
                </w:rPr>
                <m:t>t-i</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i=0</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5i</m:t>
                  </m:r>
                </m:sub>
              </m:sSub>
            </m:e>
          </m:nary>
          <m:r>
            <w:rPr>
              <w:rFonts w:ascii="Cambria Math" w:hAnsi="Cambria Math"/>
              <w:sz w:val="18"/>
              <w:szCs w:val="18"/>
            </w:rPr>
            <m:t>∆ln</m:t>
          </m:r>
          <m:sSub>
            <m:sSubPr>
              <m:ctrlPr>
                <w:rPr>
                  <w:rFonts w:ascii="Cambria Math" w:hAnsi="Cambria Math"/>
                  <w:i/>
                  <w:sz w:val="18"/>
                  <w:szCs w:val="18"/>
                </w:rPr>
              </m:ctrlPr>
            </m:sSubPr>
            <m:e>
              <m:r>
                <w:rPr>
                  <w:rFonts w:ascii="Cambria Math" w:hAnsi="Cambria Math"/>
                  <w:sz w:val="18"/>
                  <w:szCs w:val="18"/>
                </w:rPr>
                <m:t>NFAR</m:t>
              </m:r>
            </m:e>
            <m:sub>
              <m:r>
                <w:rPr>
                  <w:rFonts w:ascii="Cambria Math" w:hAnsi="Cambria Math"/>
                  <w:sz w:val="18"/>
                  <w:szCs w:val="18"/>
                </w:rPr>
                <m:t>t-i</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i=0</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6i</m:t>
                  </m:r>
                </m:sub>
              </m:sSub>
            </m:e>
          </m:nary>
          <m:r>
            <w:rPr>
              <w:rFonts w:ascii="Cambria Math" w:hAnsi="Cambria Math"/>
              <w:sz w:val="18"/>
              <w:szCs w:val="18"/>
            </w:rPr>
            <m:t>∆ln</m:t>
          </m:r>
          <m:sSub>
            <m:sSubPr>
              <m:ctrlPr>
                <w:rPr>
                  <w:rFonts w:ascii="Cambria Math" w:hAnsi="Cambria Math"/>
                  <w:i/>
                  <w:sz w:val="18"/>
                  <w:szCs w:val="18"/>
                </w:rPr>
              </m:ctrlPr>
            </m:sSubPr>
            <m:e>
              <m:r>
                <w:rPr>
                  <w:rFonts w:ascii="Cambria Math" w:hAnsi="Cambria Math"/>
                  <w:sz w:val="18"/>
                  <w:szCs w:val="18"/>
                </w:rPr>
                <m:t>RCPI</m:t>
              </m:r>
            </m:e>
            <m:sub>
              <m:r>
                <w:rPr>
                  <w:rFonts w:ascii="Cambria Math" w:hAnsi="Cambria Math"/>
                  <w:sz w:val="18"/>
                  <w:szCs w:val="18"/>
                </w:rPr>
                <m:t>t-i</m:t>
              </m:r>
            </m:sub>
          </m:sSub>
          <m:r>
            <w:rPr>
              <w:rFonts w:ascii="Cambria Math" w:eastAsiaTheme="minorEastAsia"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i=0</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7i</m:t>
                  </m:r>
                </m:sub>
              </m:sSub>
            </m:e>
          </m:nary>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WGDPG</m:t>
              </m:r>
            </m:e>
            <m:sub>
              <m:r>
                <w:rPr>
                  <w:rFonts w:ascii="Cambria Math" w:hAnsi="Cambria Math"/>
                  <w:sz w:val="18"/>
                  <w:szCs w:val="18"/>
                </w:rPr>
                <m:t>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1</m:t>
              </m:r>
            </m:sub>
          </m:sSub>
          <m:r>
            <w:rPr>
              <w:rFonts w:ascii="Cambria Math" w:hAnsi="Cambria Math"/>
              <w:sz w:val="18"/>
              <w:szCs w:val="18"/>
            </w:rPr>
            <m:t>ln</m:t>
          </m:r>
          <m:sSub>
            <m:sSubPr>
              <m:ctrlPr>
                <w:rPr>
                  <w:rFonts w:ascii="Cambria Math" w:hAnsi="Cambria Math"/>
                  <w:i/>
                  <w:sz w:val="18"/>
                  <w:szCs w:val="18"/>
                </w:rPr>
              </m:ctrlPr>
            </m:sSubPr>
            <m:e>
              <m:r>
                <w:rPr>
                  <w:rFonts w:ascii="Cambria Math" w:hAnsi="Cambria Math"/>
                  <w:sz w:val="18"/>
                  <w:szCs w:val="18"/>
                </w:rPr>
                <m:t>REER</m:t>
              </m:r>
            </m:e>
            <m:sub>
              <m:r>
                <w:rPr>
                  <w:rFonts w:ascii="Cambria Math" w:hAnsi="Cambria Math"/>
                  <w:sz w:val="18"/>
                  <w:szCs w:val="18"/>
                </w:rPr>
                <m:t>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2</m:t>
              </m:r>
            </m:sub>
          </m:sSub>
          <m:r>
            <w:rPr>
              <w:rFonts w:ascii="Cambria Math" w:hAnsi="Cambria Math"/>
              <w:sz w:val="18"/>
              <w:szCs w:val="18"/>
            </w:rPr>
            <m:t>ln</m:t>
          </m:r>
          <m:sSub>
            <m:sSubPr>
              <m:ctrlPr>
                <w:rPr>
                  <w:rFonts w:ascii="Cambria Math" w:hAnsi="Cambria Math"/>
                  <w:i/>
                  <w:sz w:val="18"/>
                  <w:szCs w:val="18"/>
                </w:rPr>
              </m:ctrlPr>
            </m:sSubPr>
            <m:e>
              <m:r>
                <w:rPr>
                  <w:rFonts w:ascii="Cambria Math" w:hAnsi="Cambria Math"/>
                  <w:sz w:val="18"/>
                  <w:szCs w:val="18"/>
                </w:rPr>
                <m:t>TOT</m:t>
              </m:r>
            </m:e>
            <m:sub>
              <m:r>
                <w:rPr>
                  <w:rFonts w:ascii="Cambria Math" w:hAnsi="Cambria Math"/>
                  <w:sz w:val="18"/>
                  <w:szCs w:val="18"/>
                </w:rPr>
                <m:t>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3</m:t>
              </m:r>
            </m:sub>
          </m:sSub>
          <m:r>
            <w:rPr>
              <w:rFonts w:ascii="Cambria Math" w:hAnsi="Cambria Math"/>
              <w:sz w:val="18"/>
              <w:szCs w:val="18"/>
            </w:rPr>
            <m:t>ln</m:t>
          </m:r>
          <m:sSub>
            <m:sSubPr>
              <m:ctrlPr>
                <w:rPr>
                  <w:rFonts w:ascii="Cambria Math" w:hAnsi="Cambria Math"/>
                  <w:i/>
                  <w:sz w:val="18"/>
                  <w:szCs w:val="18"/>
                </w:rPr>
              </m:ctrlPr>
            </m:sSubPr>
            <m:e>
              <m:r>
                <w:rPr>
                  <w:rFonts w:ascii="Cambria Math" w:hAnsi="Cambria Math"/>
                  <w:sz w:val="18"/>
                  <w:szCs w:val="18"/>
                </w:rPr>
                <m:t>OPEN</m:t>
              </m:r>
            </m:e>
            <m:sub>
              <m:r>
                <w:rPr>
                  <w:rFonts w:ascii="Cambria Math" w:hAnsi="Cambria Math"/>
                  <w:sz w:val="18"/>
                  <w:szCs w:val="18"/>
                </w:rPr>
                <m:t>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4</m:t>
              </m:r>
            </m:sub>
          </m:sSub>
          <m:r>
            <w:rPr>
              <w:rFonts w:ascii="Cambria Math" w:hAnsi="Cambria Math"/>
              <w:sz w:val="18"/>
              <w:szCs w:val="18"/>
            </w:rPr>
            <m:t>ln</m:t>
          </m:r>
          <m:sSub>
            <m:sSubPr>
              <m:ctrlPr>
                <w:rPr>
                  <w:rFonts w:ascii="Cambria Math" w:hAnsi="Cambria Math"/>
                  <w:i/>
                  <w:sz w:val="18"/>
                  <w:szCs w:val="18"/>
                </w:rPr>
              </m:ctrlPr>
            </m:sSubPr>
            <m:e>
              <m:r>
                <w:rPr>
                  <w:rFonts w:ascii="Cambria Math" w:hAnsi="Cambria Math"/>
                  <w:sz w:val="18"/>
                  <w:szCs w:val="18"/>
                </w:rPr>
                <m:t>GCR</m:t>
              </m:r>
            </m:e>
            <m:sub>
              <m:r>
                <w:rPr>
                  <w:rFonts w:ascii="Cambria Math" w:hAnsi="Cambria Math"/>
                  <w:sz w:val="18"/>
                  <w:szCs w:val="18"/>
                </w:rPr>
                <m:t>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5</m:t>
              </m:r>
            </m:sub>
          </m:sSub>
          <m:r>
            <w:rPr>
              <w:rFonts w:ascii="Cambria Math" w:hAnsi="Cambria Math"/>
              <w:sz w:val="18"/>
              <w:szCs w:val="18"/>
            </w:rPr>
            <m:t>ln</m:t>
          </m:r>
          <m:sSub>
            <m:sSubPr>
              <m:ctrlPr>
                <w:rPr>
                  <w:rFonts w:ascii="Cambria Math" w:hAnsi="Cambria Math"/>
                  <w:i/>
                  <w:sz w:val="18"/>
                  <w:szCs w:val="18"/>
                </w:rPr>
              </m:ctrlPr>
            </m:sSubPr>
            <m:e>
              <m:r>
                <w:rPr>
                  <w:rFonts w:ascii="Cambria Math" w:hAnsi="Cambria Math"/>
                  <w:sz w:val="18"/>
                  <w:szCs w:val="18"/>
                </w:rPr>
                <m:t>NFAR</m:t>
              </m:r>
            </m:e>
            <m:sub>
              <m:r>
                <w:rPr>
                  <w:rFonts w:ascii="Cambria Math" w:hAnsi="Cambria Math"/>
                  <w:sz w:val="18"/>
                  <w:szCs w:val="18"/>
                </w:rPr>
                <m:t>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6</m:t>
              </m:r>
            </m:sub>
          </m:sSub>
          <m:r>
            <w:rPr>
              <w:rFonts w:ascii="Cambria Math" w:hAnsi="Cambria Math"/>
              <w:sz w:val="18"/>
              <w:szCs w:val="18"/>
            </w:rPr>
            <m:t>ln</m:t>
          </m:r>
          <m:sSub>
            <m:sSubPr>
              <m:ctrlPr>
                <w:rPr>
                  <w:rFonts w:ascii="Cambria Math" w:hAnsi="Cambria Math"/>
                  <w:i/>
                  <w:sz w:val="18"/>
                  <w:szCs w:val="18"/>
                </w:rPr>
              </m:ctrlPr>
            </m:sSubPr>
            <m:e>
              <m:r>
                <w:rPr>
                  <w:rFonts w:ascii="Cambria Math" w:hAnsi="Cambria Math"/>
                  <w:sz w:val="18"/>
                  <w:szCs w:val="18"/>
                </w:rPr>
                <m:t>RCPI</m:t>
              </m:r>
            </m:e>
            <m:sub>
              <m:r>
                <w:rPr>
                  <w:rFonts w:ascii="Cambria Math" w:hAnsi="Cambria Math"/>
                  <w:sz w:val="18"/>
                  <w:szCs w:val="18"/>
                </w:rPr>
                <m:t>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7</m:t>
              </m:r>
            </m:sub>
          </m:sSub>
          <m:sSub>
            <m:sSubPr>
              <m:ctrlPr>
                <w:rPr>
                  <w:rFonts w:ascii="Cambria Math" w:hAnsi="Cambria Math"/>
                  <w:i/>
                  <w:sz w:val="18"/>
                  <w:szCs w:val="18"/>
                </w:rPr>
              </m:ctrlPr>
            </m:sSubPr>
            <m:e>
              <m:r>
                <w:rPr>
                  <w:rFonts w:ascii="Cambria Math" w:hAnsi="Cambria Math"/>
                  <w:sz w:val="18"/>
                  <w:szCs w:val="18"/>
                </w:rPr>
                <m:t>WGDG</m:t>
              </m:r>
            </m:e>
            <m:sub>
              <m:r>
                <w:rPr>
                  <w:rFonts w:ascii="Cambria Math" w:hAnsi="Cambria Math"/>
                  <w:sz w:val="18"/>
                  <w:szCs w:val="18"/>
                </w:rPr>
                <m:t>t-1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t</m:t>
              </m:r>
            </m:sub>
          </m:sSub>
          <m:r>
            <w:rPr>
              <w:rFonts w:ascii="Cambria Math" w:hAnsi="Cambria Math"/>
              <w:sz w:val="18"/>
              <w:szCs w:val="18"/>
            </w:rPr>
            <m:t xml:space="preserve">                                                             (1)</m:t>
          </m:r>
        </m:oMath>
      </m:oMathPara>
    </w:p>
    <w:p w:rsidR="00EE1D63" w:rsidRPr="00EE1D63" w:rsidRDefault="00EE1D63" w:rsidP="00EE1D63">
      <w:pPr>
        <w:autoSpaceDE w:val="0"/>
        <w:autoSpaceDN w:val="0"/>
        <w:adjustRightInd w:val="0"/>
        <w:spacing w:line="480" w:lineRule="auto"/>
        <w:jc w:val="both"/>
        <w:rPr>
          <w:rFonts w:ascii="Times New Roman" w:eastAsia="Times New Roman" w:hAnsi="Times New Roman"/>
          <w:sz w:val="24"/>
          <w:szCs w:val="24"/>
        </w:rPr>
      </w:pPr>
      <w:proofErr w:type="gramStart"/>
      <w:r w:rsidRPr="00EE1D63">
        <w:rPr>
          <w:rFonts w:ascii="Times New Roman" w:eastAsia="Times New Roman" w:hAnsi="Times New Roman"/>
          <w:sz w:val="24"/>
          <w:szCs w:val="24"/>
        </w:rPr>
        <w:lastRenderedPageBreak/>
        <w:t xml:space="preserve">where </w:t>
      </w:r>
      <w:proofErr w:type="gramEnd"/>
      <m:oMath>
        <m:r>
          <w:rPr>
            <w:rFonts w:ascii="Cambria Math" w:hAnsi="Cambria Math"/>
            <w:sz w:val="24"/>
            <w:szCs w:val="24"/>
          </w:rPr>
          <m:t>μ</m:t>
        </m:r>
      </m:oMath>
      <w:r w:rsidRPr="00EE1D63">
        <w:rPr>
          <w:rFonts w:ascii="Times New Roman" w:eastAsia="Times New Roman" w:hAnsi="Times New Roman"/>
          <w:sz w:val="24"/>
          <w:szCs w:val="24"/>
        </w:rPr>
        <w:t xml:space="preserve">, </w:t>
      </w:r>
      <m:oMath>
        <m:r>
          <w:rPr>
            <w:rFonts w:ascii="Cambria Math" w:eastAsia="Times New Roman" w:hAnsi="Cambria Math"/>
            <w:sz w:val="24"/>
            <w:szCs w:val="24"/>
          </w:rPr>
          <m:t>γ</m:t>
        </m:r>
      </m:oMath>
      <w:r w:rsidRPr="00EE1D63">
        <w:rPr>
          <w:rFonts w:ascii="Times New Roman" w:eastAsia="Times New Roman" w:hAnsi="Times New Roman"/>
          <w:sz w:val="24"/>
          <w:szCs w:val="24"/>
        </w:rPr>
        <w:t xml:space="preserve">, and </w:t>
      </w:r>
      <m:oMath>
        <m:r>
          <w:rPr>
            <w:rFonts w:ascii="Cambria Math" w:eastAsia="Times New Roman" w:hAnsi="Cambria Math"/>
            <w:sz w:val="24"/>
            <w:szCs w:val="24"/>
          </w:rPr>
          <m:t>δ</m:t>
        </m:r>
      </m:oMath>
      <w:r w:rsidRPr="00EE1D63">
        <w:rPr>
          <w:rFonts w:ascii="Times New Roman" w:eastAsia="Times New Roman" w:hAnsi="Times New Roman"/>
          <w:sz w:val="24"/>
          <w:szCs w:val="24"/>
        </w:rPr>
        <w:t xml:space="preserve"> are, respectively, the white-noise error term, the short-run coefficients, and the long-run coefficients of the model; and </w:t>
      </w:r>
      <m:oMath>
        <m:r>
          <w:rPr>
            <w:rFonts w:ascii="Cambria Math" w:hAnsi="Cambria Math"/>
            <w:sz w:val="24"/>
            <w:szCs w:val="24"/>
          </w:rPr>
          <m:t>∆</m:t>
        </m:r>
      </m:oMath>
      <w:r w:rsidRPr="00EE1D63">
        <w:rPr>
          <w:rFonts w:ascii="Times New Roman" w:eastAsia="Times New Roman" w:hAnsi="Times New Roman"/>
          <w:sz w:val="24"/>
          <w:szCs w:val="24"/>
        </w:rPr>
        <w:t xml:space="preserve"> is the first difference operator. In addition, </w:t>
      </w:r>
      <w:r w:rsidRPr="00EE1D63">
        <w:rPr>
          <w:rFonts w:ascii="Times New Roman" w:eastAsia="Times New Roman" w:hAnsi="Times New Roman"/>
          <w:i/>
          <w:sz w:val="24"/>
          <w:szCs w:val="24"/>
        </w:rPr>
        <w:t xml:space="preserve">t </w:t>
      </w:r>
      <w:r w:rsidRPr="00EE1D63">
        <w:rPr>
          <w:rFonts w:ascii="Times New Roman" w:eastAsia="Times New Roman" w:hAnsi="Times New Roman"/>
          <w:sz w:val="24"/>
          <w:szCs w:val="24"/>
        </w:rPr>
        <w:t xml:space="preserve">denotes time period; </w:t>
      </w:r>
      <w:r w:rsidRPr="00EE1D63">
        <w:rPr>
          <w:rFonts w:ascii="Times New Roman" w:eastAsia="Times New Roman" w:hAnsi="Times New Roman"/>
          <w:i/>
          <w:iCs/>
          <w:sz w:val="24"/>
          <w:szCs w:val="24"/>
        </w:rPr>
        <w:t>n</w:t>
      </w:r>
      <w:r w:rsidRPr="00EE1D63">
        <w:rPr>
          <w:rFonts w:ascii="Times New Roman" w:eastAsia="Times New Roman" w:hAnsi="Times New Roman"/>
          <w:sz w:val="24"/>
          <w:szCs w:val="24"/>
        </w:rPr>
        <w:t xml:space="preserve"> is the maximum number of lags in the model. The variables, namely: </w:t>
      </w:r>
      <m:oMath>
        <m:r>
          <w:rPr>
            <w:rFonts w:ascii="Cambria Math" w:eastAsia="Times New Roman" w:hAnsi="Cambria Math"/>
            <w:sz w:val="24"/>
            <w:szCs w:val="24"/>
          </w:rPr>
          <m:t>lnREER</m:t>
        </m:r>
      </m:oMath>
      <w:r w:rsidRPr="00EE1D63">
        <w:rPr>
          <w:rFonts w:ascii="Times New Roman" w:eastAsia="Times New Roman" w:hAnsi="Times New Roman"/>
          <w:sz w:val="24"/>
          <w:szCs w:val="24"/>
        </w:rPr>
        <w:t xml:space="preserve">, </w:t>
      </w:r>
      <m:oMath>
        <m:r>
          <w:rPr>
            <w:rFonts w:ascii="Cambria Math" w:eastAsia="Times New Roman" w:hAnsi="Cambria Math"/>
            <w:sz w:val="24"/>
            <w:szCs w:val="24"/>
          </w:rPr>
          <m:t>lnGCR</m:t>
        </m:r>
      </m:oMath>
      <w:r w:rsidRPr="00EE1D63">
        <w:rPr>
          <w:rFonts w:ascii="Times New Roman" w:eastAsia="Times New Roman" w:hAnsi="Times New Roman"/>
          <w:sz w:val="24"/>
          <w:szCs w:val="24"/>
        </w:rPr>
        <w:t xml:space="preserve">, </w:t>
      </w:r>
      <m:oMath>
        <m:r>
          <w:rPr>
            <w:rFonts w:ascii="Cambria Math" w:eastAsia="Times New Roman" w:hAnsi="Cambria Math"/>
            <w:sz w:val="24"/>
            <w:szCs w:val="24"/>
          </w:rPr>
          <m:t>lnOPEN</m:t>
        </m:r>
      </m:oMath>
      <w:r w:rsidRPr="00EE1D63">
        <w:rPr>
          <w:rFonts w:ascii="Times New Roman" w:eastAsia="Times New Roman" w:hAnsi="Times New Roman"/>
          <w:sz w:val="24"/>
          <w:szCs w:val="24"/>
        </w:rPr>
        <w:t xml:space="preserve">, </w:t>
      </w:r>
      <m:oMath>
        <m:r>
          <w:rPr>
            <w:rFonts w:ascii="Cambria Math" w:eastAsia="Times New Roman" w:hAnsi="Cambria Math"/>
            <w:sz w:val="24"/>
            <w:szCs w:val="24"/>
          </w:rPr>
          <m:t>lnTOT</m:t>
        </m:r>
      </m:oMath>
      <w:r w:rsidRPr="00EE1D63">
        <w:rPr>
          <w:rFonts w:ascii="Times New Roman" w:eastAsia="Times New Roman" w:hAnsi="Times New Roman"/>
          <w:sz w:val="24"/>
          <w:szCs w:val="24"/>
        </w:rPr>
        <w:t xml:space="preserve">, </w:t>
      </w:r>
      <m:oMath>
        <m:r>
          <w:rPr>
            <w:rFonts w:ascii="Cambria Math" w:eastAsia="Times New Roman" w:hAnsi="Cambria Math"/>
            <w:sz w:val="24"/>
            <w:szCs w:val="24"/>
          </w:rPr>
          <m:t>lnNFAR</m:t>
        </m:r>
      </m:oMath>
      <w:r w:rsidRPr="00EE1D63">
        <w:rPr>
          <w:rFonts w:ascii="Times New Roman" w:eastAsia="Times New Roman" w:hAnsi="Times New Roman"/>
          <w:sz w:val="24"/>
          <w:szCs w:val="24"/>
        </w:rPr>
        <w:t xml:space="preserve">, and </w:t>
      </w:r>
      <m:oMath>
        <m:r>
          <w:rPr>
            <w:rFonts w:ascii="Cambria Math" w:eastAsia="Times New Roman" w:hAnsi="Cambria Math"/>
            <w:sz w:val="24"/>
            <w:szCs w:val="24"/>
          </w:rPr>
          <m:t>lnRCPI</m:t>
        </m:r>
      </m:oMath>
      <w:r w:rsidRPr="00EE1D63">
        <w:rPr>
          <w:rFonts w:ascii="Times New Roman" w:eastAsia="Times New Roman" w:hAnsi="Times New Roman"/>
          <w:sz w:val="24"/>
          <w:szCs w:val="24"/>
        </w:rPr>
        <w:t xml:space="preserve">, are the natural logarithms of the real effective exchange rate, the ratio of government consumption to GDP, trade openness, terms of trade, net foreign assets to GDP, and the real commodity price index, respectively. WGDPG denotes the world economic growth.  </w:t>
      </w:r>
    </w:p>
    <w:p w:rsidR="00EE1D63" w:rsidRPr="00EE1D63" w:rsidRDefault="00EE1D63" w:rsidP="00EE1D63">
      <w:pPr>
        <w:autoSpaceDE w:val="0"/>
        <w:autoSpaceDN w:val="0"/>
        <w:adjustRightInd w:val="0"/>
        <w:spacing w:line="480" w:lineRule="auto"/>
        <w:jc w:val="both"/>
        <w:rPr>
          <w:rFonts w:ascii="Times New Roman" w:eastAsia="Times New Roman" w:hAnsi="Times New Roman"/>
          <w:sz w:val="24"/>
          <w:szCs w:val="24"/>
        </w:rPr>
      </w:pPr>
      <w:r w:rsidRPr="00EE1D63">
        <w:rPr>
          <w:rFonts w:ascii="Times New Roman" w:eastAsia="Times New Roman" w:hAnsi="Times New Roman"/>
          <w:sz w:val="24"/>
          <w:szCs w:val="24"/>
        </w:rPr>
        <w:t xml:space="preserve">From </w:t>
      </w:r>
      <w:r w:rsidRPr="00EE1D63">
        <w:rPr>
          <w:rFonts w:ascii="Times New Roman" w:eastAsia="Times New Roman" w:hAnsi="Times New Roman"/>
          <w:i/>
          <w:sz w:val="24"/>
          <w:szCs w:val="24"/>
        </w:rPr>
        <w:t xml:space="preserve">Eq. </w:t>
      </w:r>
      <w:r w:rsidRPr="00EE1D63">
        <w:rPr>
          <w:rFonts w:ascii="Times New Roman" w:eastAsia="Times New Roman" w:hAnsi="Times New Roman"/>
          <w:iCs/>
          <w:sz w:val="24"/>
          <w:szCs w:val="24"/>
        </w:rPr>
        <w:t>(1)</w:t>
      </w:r>
      <w:r w:rsidRPr="00EE1D63">
        <w:rPr>
          <w:rFonts w:ascii="Times New Roman" w:eastAsia="Times New Roman" w:hAnsi="Times New Roman"/>
          <w:sz w:val="24"/>
          <w:szCs w:val="24"/>
        </w:rPr>
        <w:t xml:space="preserve">, there exist cointegrating relationships between the series, if at least one of the </w:t>
      </w:r>
      <m:oMath>
        <m:r>
          <w:rPr>
            <w:rFonts w:ascii="Cambria Math" w:eastAsia="Times New Roman" w:hAnsi="Cambria Math"/>
            <w:sz w:val="24"/>
            <w:szCs w:val="24"/>
          </w:rPr>
          <m:t>δ</m:t>
        </m:r>
      </m:oMath>
      <w:r w:rsidRPr="00EE1D63">
        <w:rPr>
          <w:rFonts w:ascii="Times New Roman" w:eastAsia="Times New Roman" w:hAnsi="Times New Roman"/>
          <w:sz w:val="24"/>
          <w:szCs w:val="24"/>
        </w:rPr>
        <w:t>s is significantly different from zero. Otherwise, we could reject the evidence of cointegration between real exchange rate, in particular, and the determinants; since any other possible evidence of cointegration would not be relevant to our study.</w:t>
      </w:r>
    </w:p>
    <w:p w:rsidR="00EE1D63" w:rsidRPr="00EE1D63" w:rsidRDefault="00EE1D63" w:rsidP="00EE1D63">
      <w:pPr>
        <w:autoSpaceDE w:val="0"/>
        <w:autoSpaceDN w:val="0"/>
        <w:adjustRightInd w:val="0"/>
        <w:spacing w:line="480" w:lineRule="auto"/>
        <w:jc w:val="both"/>
        <w:rPr>
          <w:rFonts w:ascii="Times New Roman" w:eastAsia="Times New Roman" w:hAnsi="Times New Roman"/>
          <w:sz w:val="24"/>
          <w:szCs w:val="24"/>
        </w:rPr>
      </w:pPr>
      <w:r w:rsidRPr="00EE1D63">
        <w:rPr>
          <w:rFonts w:ascii="Times New Roman" w:eastAsia="Times New Roman" w:hAnsi="Times New Roman"/>
          <w:sz w:val="24"/>
          <w:szCs w:val="24"/>
        </w:rPr>
        <w:t xml:space="preserve">We note that the ARDL bounds testing procedure for cointegrating relationships follows a non-standard asymptotic </w:t>
      </w:r>
      <w:r w:rsidRPr="00EE1D63">
        <w:rPr>
          <w:rFonts w:ascii="Times New Roman" w:eastAsia="Times New Roman" w:hAnsi="Times New Roman"/>
          <w:i/>
          <w:iCs/>
          <w:sz w:val="24"/>
          <w:szCs w:val="24"/>
        </w:rPr>
        <w:t>F</w:t>
      </w:r>
      <w:r w:rsidRPr="00EE1D63">
        <w:rPr>
          <w:rFonts w:ascii="Times New Roman" w:eastAsia="Times New Roman" w:hAnsi="Times New Roman"/>
          <w:sz w:val="24"/>
          <w:szCs w:val="24"/>
        </w:rPr>
        <w:t xml:space="preserve">-distribution. Two sets of critical values have been constructed by </w:t>
      </w:r>
      <w:proofErr w:type="spellStart"/>
      <w:r w:rsidRPr="00EE1D63">
        <w:rPr>
          <w:rFonts w:ascii="Times New Roman" w:eastAsia="Times New Roman" w:hAnsi="Times New Roman"/>
          <w:sz w:val="24"/>
          <w:szCs w:val="24"/>
        </w:rPr>
        <w:t>Pesaran</w:t>
      </w:r>
      <w:proofErr w:type="spellEnd"/>
      <w:r w:rsidRPr="00EE1D63">
        <w:rPr>
          <w:rFonts w:ascii="Times New Roman" w:eastAsia="Times New Roman" w:hAnsi="Times New Roman"/>
          <w:sz w:val="24"/>
          <w:szCs w:val="24"/>
        </w:rPr>
        <w:t xml:space="preserve"> </w:t>
      </w:r>
      <w:r w:rsidRPr="00EE1D63">
        <w:rPr>
          <w:rFonts w:ascii="Times New Roman" w:eastAsia="Times New Roman" w:hAnsi="Times New Roman"/>
          <w:i/>
          <w:iCs/>
          <w:sz w:val="24"/>
          <w:szCs w:val="24"/>
        </w:rPr>
        <w:t>et al.</w:t>
      </w:r>
      <w:r w:rsidRPr="00EE1D63">
        <w:rPr>
          <w:rFonts w:ascii="Times New Roman" w:eastAsia="Times New Roman" w:hAnsi="Times New Roman"/>
          <w:sz w:val="24"/>
          <w:szCs w:val="24"/>
        </w:rPr>
        <w:t xml:space="preserve"> (2001) under this null hypothesis. The first set of critical values are constructed under the assumption that variables in the ARDL model are integrated of order zero, </w:t>
      </w:r>
      <w:proofErr w:type="gramStart"/>
      <w:r w:rsidRPr="00EE1D63">
        <w:rPr>
          <w:rFonts w:ascii="Times New Roman" w:eastAsia="Times New Roman" w:hAnsi="Times New Roman"/>
          <w:i/>
          <w:iCs/>
          <w:sz w:val="24"/>
          <w:szCs w:val="24"/>
        </w:rPr>
        <w:t>I(</w:t>
      </w:r>
      <w:proofErr w:type="gramEnd"/>
      <w:r w:rsidRPr="00EE1D63">
        <w:rPr>
          <w:rFonts w:ascii="Times New Roman" w:eastAsia="Times New Roman" w:hAnsi="Times New Roman"/>
          <w:i/>
          <w:iCs/>
          <w:sz w:val="24"/>
          <w:szCs w:val="24"/>
        </w:rPr>
        <w:t>0)</w:t>
      </w:r>
      <w:r w:rsidRPr="00EE1D63">
        <w:rPr>
          <w:rFonts w:ascii="Times New Roman" w:eastAsia="Times New Roman" w:hAnsi="Times New Roman"/>
          <w:sz w:val="24"/>
          <w:szCs w:val="24"/>
        </w:rPr>
        <w:t xml:space="preserve">. The second set of critical values are constructed under the assumption that variables in the model are integrated of order one, </w:t>
      </w:r>
      <w:proofErr w:type="gramStart"/>
      <w:r w:rsidRPr="00EE1D63">
        <w:rPr>
          <w:rFonts w:ascii="Times New Roman" w:eastAsia="Times New Roman" w:hAnsi="Times New Roman"/>
          <w:i/>
          <w:iCs/>
          <w:sz w:val="24"/>
          <w:szCs w:val="24"/>
        </w:rPr>
        <w:t>I(</w:t>
      </w:r>
      <w:proofErr w:type="gramEnd"/>
      <w:r w:rsidRPr="00EE1D63">
        <w:rPr>
          <w:rFonts w:ascii="Times New Roman" w:eastAsia="Times New Roman" w:hAnsi="Times New Roman"/>
          <w:i/>
          <w:iCs/>
          <w:sz w:val="24"/>
          <w:szCs w:val="24"/>
        </w:rPr>
        <w:t>1)</w:t>
      </w:r>
      <w:r w:rsidRPr="00EE1D63">
        <w:rPr>
          <w:rFonts w:ascii="Times New Roman" w:eastAsia="Times New Roman" w:hAnsi="Times New Roman"/>
          <w:sz w:val="24"/>
          <w:szCs w:val="24"/>
        </w:rPr>
        <w:t xml:space="preserve">. We do not reject the null hypothesis of no cointegration relationships when the </w:t>
      </w:r>
      <w:r w:rsidRPr="00EE1D63">
        <w:rPr>
          <w:rFonts w:ascii="Times New Roman" w:eastAsia="Times New Roman" w:hAnsi="Times New Roman"/>
          <w:i/>
          <w:iCs/>
          <w:sz w:val="24"/>
          <w:szCs w:val="24"/>
        </w:rPr>
        <w:t>F</w:t>
      </w:r>
      <w:r w:rsidRPr="00EE1D63">
        <w:rPr>
          <w:rFonts w:ascii="Times New Roman" w:eastAsia="Times New Roman" w:hAnsi="Times New Roman"/>
          <w:sz w:val="24"/>
          <w:szCs w:val="24"/>
        </w:rPr>
        <w:t xml:space="preserve">-statistic falls below the lower-bound values. Similarly, we reject the null hypothesis of no co-integration when the calculated </w:t>
      </w:r>
      <w:r w:rsidRPr="00EE1D63">
        <w:rPr>
          <w:rFonts w:ascii="Times New Roman" w:eastAsia="Times New Roman" w:hAnsi="Times New Roman"/>
          <w:i/>
          <w:iCs/>
          <w:sz w:val="24"/>
          <w:szCs w:val="24"/>
        </w:rPr>
        <w:t>F</w:t>
      </w:r>
      <w:r w:rsidRPr="00EE1D63">
        <w:rPr>
          <w:rFonts w:ascii="Times New Roman" w:eastAsia="Times New Roman" w:hAnsi="Times New Roman"/>
          <w:sz w:val="24"/>
          <w:szCs w:val="24"/>
        </w:rPr>
        <w:t xml:space="preserve">-statistic is greater than the upper-bound values. However, the test is inconclusive, when the </w:t>
      </w:r>
      <w:r w:rsidRPr="00EE1D63">
        <w:rPr>
          <w:rFonts w:ascii="Times New Roman" w:eastAsia="Times New Roman" w:hAnsi="Times New Roman"/>
          <w:i/>
          <w:iCs/>
          <w:sz w:val="24"/>
          <w:szCs w:val="24"/>
        </w:rPr>
        <w:t>F</w:t>
      </w:r>
      <w:r w:rsidRPr="00EE1D63">
        <w:rPr>
          <w:rFonts w:ascii="Times New Roman" w:eastAsia="Times New Roman" w:hAnsi="Times New Roman"/>
          <w:sz w:val="24"/>
          <w:szCs w:val="24"/>
        </w:rPr>
        <w:t>-statistic falls between the lower and upper bounds.</w:t>
      </w:r>
    </w:p>
    <w:p w:rsidR="00EE1D63" w:rsidRPr="00EE1D63" w:rsidRDefault="00EE1D63" w:rsidP="00EE1D63">
      <w:pPr>
        <w:autoSpaceDE w:val="0"/>
        <w:autoSpaceDN w:val="0"/>
        <w:adjustRightInd w:val="0"/>
        <w:spacing w:after="0" w:line="480" w:lineRule="auto"/>
        <w:jc w:val="both"/>
        <w:rPr>
          <w:rFonts w:ascii="Times New Roman" w:eastAsia="Times New Roman" w:hAnsi="Times New Roman"/>
          <w:sz w:val="24"/>
          <w:szCs w:val="24"/>
        </w:rPr>
      </w:pPr>
      <w:r w:rsidRPr="00EE1D63">
        <w:rPr>
          <w:rFonts w:ascii="Times New Roman" w:eastAsia="Times New Roman" w:hAnsi="Times New Roman"/>
          <w:sz w:val="24"/>
          <w:szCs w:val="24"/>
        </w:rPr>
        <w:t xml:space="preserve">If the variables are found to be cointegrated, the standard approach is to estimate an error correction model. The error correction model for </w:t>
      </w:r>
      <w:r w:rsidRPr="00EE1D63">
        <w:rPr>
          <w:rFonts w:ascii="Times New Roman" w:eastAsia="Times New Roman" w:hAnsi="Times New Roman"/>
          <w:i/>
          <w:iCs/>
          <w:sz w:val="24"/>
          <w:szCs w:val="24"/>
        </w:rPr>
        <w:t>Eq.</w:t>
      </w:r>
      <w:r w:rsidRPr="00EE1D63">
        <w:rPr>
          <w:rFonts w:ascii="Times New Roman" w:eastAsia="Times New Roman" w:hAnsi="Times New Roman"/>
          <w:sz w:val="24"/>
          <w:szCs w:val="24"/>
        </w:rPr>
        <w:t xml:space="preserve"> (2) can be formulated as:</w:t>
      </w:r>
    </w:p>
    <w:p w:rsidR="00EE1D63" w:rsidRPr="00EE1D63" w:rsidRDefault="00EE1D63" w:rsidP="00EE1D63">
      <w:pPr>
        <w:spacing w:line="480" w:lineRule="auto"/>
        <w:jc w:val="both"/>
        <w:rPr>
          <w:rFonts w:ascii="Times New Roman" w:hAnsi="Times New Roman"/>
          <w:sz w:val="24"/>
          <w:szCs w:val="24"/>
        </w:rPr>
      </w:pPr>
      <m:oMathPara>
        <m:oMath>
          <m:r>
            <w:rPr>
              <w:rFonts w:ascii="Cambria Math" w:hAnsi="Cambria Math"/>
              <w:sz w:val="18"/>
              <w:szCs w:val="18"/>
            </w:rPr>
            <w:lastRenderedPageBreak/>
            <m:t>∆ln</m:t>
          </m:r>
          <m:sSub>
            <m:sSubPr>
              <m:ctrlPr>
                <w:rPr>
                  <w:rFonts w:ascii="Cambria Math" w:hAnsi="Cambria Math"/>
                  <w:i/>
                  <w:sz w:val="18"/>
                  <w:szCs w:val="18"/>
                </w:rPr>
              </m:ctrlPr>
            </m:sSubPr>
            <m:e>
              <m:r>
                <w:rPr>
                  <w:rFonts w:ascii="Cambria Math" w:hAnsi="Cambria Math"/>
                  <w:sz w:val="18"/>
                  <w:szCs w:val="18"/>
                </w:rPr>
                <m:t>REER</m:t>
              </m:r>
            </m:e>
            <m:sub>
              <m:r>
                <w:rPr>
                  <w:rFonts w:ascii="Cambria Math" w:hAnsi="Cambria Math"/>
                  <w:sz w:val="18"/>
                  <w:szCs w:val="18"/>
                </w:rPr>
                <m:t>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0</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1i</m:t>
                  </m:r>
                </m:sub>
              </m:sSub>
            </m:e>
          </m:nary>
          <m:r>
            <w:rPr>
              <w:rFonts w:ascii="Cambria Math" w:hAnsi="Cambria Math"/>
              <w:sz w:val="18"/>
              <w:szCs w:val="18"/>
            </w:rPr>
            <m:t>∆ln</m:t>
          </m:r>
          <m:sSub>
            <m:sSubPr>
              <m:ctrlPr>
                <w:rPr>
                  <w:rFonts w:ascii="Cambria Math" w:hAnsi="Cambria Math"/>
                  <w:i/>
                  <w:sz w:val="18"/>
                  <w:szCs w:val="18"/>
                </w:rPr>
              </m:ctrlPr>
            </m:sSubPr>
            <m:e>
              <m:r>
                <w:rPr>
                  <w:rFonts w:ascii="Cambria Math" w:hAnsi="Cambria Math"/>
                  <w:sz w:val="18"/>
                  <w:szCs w:val="18"/>
                </w:rPr>
                <m:t>REER</m:t>
              </m:r>
            </m:e>
            <m:sub>
              <m:r>
                <w:rPr>
                  <w:rFonts w:ascii="Cambria Math" w:hAnsi="Cambria Math"/>
                  <w:sz w:val="18"/>
                  <w:szCs w:val="18"/>
                </w:rPr>
                <m:t>t-i</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i=0</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2i</m:t>
                  </m:r>
                </m:sub>
              </m:sSub>
            </m:e>
          </m:nary>
          <m:r>
            <w:rPr>
              <w:rFonts w:ascii="Cambria Math" w:hAnsi="Cambria Math"/>
              <w:sz w:val="18"/>
              <w:szCs w:val="18"/>
            </w:rPr>
            <m:t>∆ln</m:t>
          </m:r>
          <m:sSub>
            <m:sSubPr>
              <m:ctrlPr>
                <w:rPr>
                  <w:rFonts w:ascii="Cambria Math" w:hAnsi="Cambria Math"/>
                  <w:i/>
                  <w:sz w:val="18"/>
                  <w:szCs w:val="18"/>
                </w:rPr>
              </m:ctrlPr>
            </m:sSubPr>
            <m:e>
              <m:r>
                <w:rPr>
                  <w:rFonts w:ascii="Cambria Math" w:hAnsi="Cambria Math"/>
                  <w:sz w:val="18"/>
                  <w:szCs w:val="18"/>
                </w:rPr>
                <m:t>TOT</m:t>
              </m:r>
            </m:e>
            <m:sub>
              <m:r>
                <w:rPr>
                  <w:rFonts w:ascii="Cambria Math" w:hAnsi="Cambria Math"/>
                  <w:sz w:val="18"/>
                  <w:szCs w:val="18"/>
                </w:rPr>
                <m:t>t-i</m:t>
              </m:r>
            </m:sub>
          </m:sSub>
          <m:r>
            <w:rPr>
              <w:rFonts w:ascii="Cambria Math" w:eastAsiaTheme="minorEastAsia"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i=0</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3i</m:t>
                  </m:r>
                </m:sub>
              </m:sSub>
            </m:e>
          </m:nary>
          <m:r>
            <w:rPr>
              <w:rFonts w:ascii="Cambria Math" w:hAnsi="Cambria Math"/>
              <w:sz w:val="18"/>
              <w:szCs w:val="18"/>
            </w:rPr>
            <m:t>∆ln</m:t>
          </m:r>
          <m:sSub>
            <m:sSubPr>
              <m:ctrlPr>
                <w:rPr>
                  <w:rFonts w:ascii="Cambria Math" w:hAnsi="Cambria Math"/>
                  <w:i/>
                  <w:sz w:val="18"/>
                  <w:szCs w:val="18"/>
                </w:rPr>
              </m:ctrlPr>
            </m:sSubPr>
            <m:e>
              <m:r>
                <w:rPr>
                  <w:rFonts w:ascii="Cambria Math" w:hAnsi="Cambria Math"/>
                  <w:sz w:val="18"/>
                  <w:szCs w:val="18"/>
                </w:rPr>
                <m:t>OPEN</m:t>
              </m:r>
            </m:e>
            <m:sub>
              <m:r>
                <w:rPr>
                  <w:rFonts w:ascii="Cambria Math" w:hAnsi="Cambria Math"/>
                  <w:sz w:val="18"/>
                  <w:szCs w:val="18"/>
                </w:rPr>
                <m:t>t-i</m:t>
              </m:r>
            </m:sub>
          </m:sSub>
          <m:r>
            <w:rPr>
              <w:rFonts w:ascii="Cambria Math" w:eastAsiaTheme="minorEastAsia"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i=0</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4i</m:t>
                  </m:r>
                </m:sub>
              </m:sSub>
            </m:e>
          </m:nary>
          <m:r>
            <w:rPr>
              <w:rFonts w:ascii="Cambria Math" w:hAnsi="Cambria Math"/>
              <w:sz w:val="18"/>
              <w:szCs w:val="18"/>
            </w:rPr>
            <m:t>∆ln</m:t>
          </m:r>
          <m:sSub>
            <m:sSubPr>
              <m:ctrlPr>
                <w:rPr>
                  <w:rFonts w:ascii="Cambria Math" w:hAnsi="Cambria Math"/>
                  <w:i/>
                  <w:sz w:val="18"/>
                  <w:szCs w:val="18"/>
                </w:rPr>
              </m:ctrlPr>
            </m:sSubPr>
            <m:e>
              <m:r>
                <w:rPr>
                  <w:rFonts w:ascii="Cambria Math" w:hAnsi="Cambria Math"/>
                  <w:sz w:val="18"/>
                  <w:szCs w:val="18"/>
                </w:rPr>
                <m:t>GCR</m:t>
              </m:r>
            </m:e>
            <m:sub>
              <m:r>
                <w:rPr>
                  <w:rFonts w:ascii="Cambria Math" w:hAnsi="Cambria Math"/>
                  <w:sz w:val="18"/>
                  <w:szCs w:val="18"/>
                </w:rPr>
                <m:t>t-i</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i=0</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5i</m:t>
                  </m:r>
                </m:sub>
              </m:sSub>
            </m:e>
          </m:nary>
          <m:r>
            <w:rPr>
              <w:rFonts w:ascii="Cambria Math" w:hAnsi="Cambria Math"/>
              <w:sz w:val="18"/>
              <w:szCs w:val="18"/>
            </w:rPr>
            <m:t>∆ln</m:t>
          </m:r>
          <m:sSub>
            <m:sSubPr>
              <m:ctrlPr>
                <w:rPr>
                  <w:rFonts w:ascii="Cambria Math" w:hAnsi="Cambria Math"/>
                  <w:i/>
                  <w:sz w:val="18"/>
                  <w:szCs w:val="18"/>
                </w:rPr>
              </m:ctrlPr>
            </m:sSubPr>
            <m:e>
              <m:r>
                <w:rPr>
                  <w:rFonts w:ascii="Cambria Math" w:hAnsi="Cambria Math"/>
                  <w:sz w:val="18"/>
                  <w:szCs w:val="18"/>
                </w:rPr>
                <m:t>NFAR</m:t>
              </m:r>
            </m:e>
            <m:sub>
              <m:r>
                <w:rPr>
                  <w:rFonts w:ascii="Cambria Math" w:hAnsi="Cambria Math"/>
                  <w:sz w:val="18"/>
                  <w:szCs w:val="18"/>
                </w:rPr>
                <m:t>t-i</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i=0</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6i</m:t>
                  </m:r>
                </m:sub>
              </m:sSub>
            </m:e>
          </m:nary>
          <m:r>
            <w:rPr>
              <w:rFonts w:ascii="Cambria Math" w:hAnsi="Cambria Math"/>
              <w:sz w:val="18"/>
              <w:szCs w:val="18"/>
            </w:rPr>
            <m:t>∆ln</m:t>
          </m:r>
          <m:sSub>
            <m:sSubPr>
              <m:ctrlPr>
                <w:rPr>
                  <w:rFonts w:ascii="Cambria Math" w:hAnsi="Cambria Math"/>
                  <w:i/>
                  <w:sz w:val="18"/>
                  <w:szCs w:val="18"/>
                </w:rPr>
              </m:ctrlPr>
            </m:sSubPr>
            <m:e>
              <m:r>
                <w:rPr>
                  <w:rFonts w:ascii="Cambria Math" w:hAnsi="Cambria Math"/>
                  <w:sz w:val="18"/>
                  <w:szCs w:val="18"/>
                </w:rPr>
                <m:t>RCPI</m:t>
              </m:r>
            </m:e>
            <m:sub>
              <m:r>
                <w:rPr>
                  <w:rFonts w:ascii="Cambria Math" w:hAnsi="Cambria Math"/>
                  <w:sz w:val="18"/>
                  <w:szCs w:val="18"/>
                </w:rPr>
                <m:t>t-i</m:t>
              </m:r>
            </m:sub>
          </m:sSub>
          <m:r>
            <w:rPr>
              <w:rFonts w:ascii="Cambria Math" w:eastAsiaTheme="minorEastAsia"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i=0</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7i</m:t>
                  </m:r>
                </m:sub>
              </m:sSub>
            </m:e>
          </m:nary>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WGDPG</m:t>
              </m:r>
            </m:e>
            <m:sub>
              <m:r>
                <w:rPr>
                  <w:rFonts w:ascii="Cambria Math" w:hAnsi="Cambria Math"/>
                  <w:sz w:val="18"/>
                  <w:szCs w:val="18"/>
                </w:rPr>
                <m:t>t-i</m:t>
              </m:r>
            </m:sub>
          </m:sSub>
          <m:r>
            <w:rPr>
              <w:rFonts w:ascii="Cambria Math" w:hAnsi="Cambria Math"/>
              <w:sz w:val="18"/>
              <w:szCs w:val="18"/>
            </w:rPr>
            <m:t>+δ</m:t>
          </m:r>
          <m:sSub>
            <m:sSubPr>
              <m:ctrlPr>
                <w:rPr>
                  <w:rFonts w:ascii="Cambria Math" w:hAnsi="Cambria Math"/>
                  <w:i/>
                  <w:sz w:val="18"/>
                  <w:szCs w:val="18"/>
                </w:rPr>
              </m:ctrlPr>
            </m:sSubPr>
            <m:e>
              <m:r>
                <w:rPr>
                  <w:rFonts w:ascii="Cambria Math" w:hAnsi="Cambria Math"/>
                  <w:sz w:val="18"/>
                  <w:szCs w:val="18"/>
                </w:rPr>
                <m:t>ECM</m:t>
              </m:r>
            </m:e>
            <m:sub>
              <m:r>
                <w:rPr>
                  <w:rFonts w:ascii="Cambria Math" w:hAnsi="Cambria Math"/>
                  <w:sz w:val="18"/>
                  <w:szCs w:val="18"/>
                </w:rPr>
                <m:t>t-1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t</m:t>
              </m:r>
            </m:sub>
          </m:sSub>
          <m:r>
            <w:rPr>
              <w:rFonts w:ascii="Cambria Math" w:hAnsi="Cambria Math"/>
              <w:sz w:val="18"/>
              <w:szCs w:val="18"/>
            </w:rPr>
            <m:t xml:space="preserve">                                                                             (2)</m:t>
          </m:r>
        </m:oMath>
      </m:oMathPara>
    </w:p>
    <w:p w:rsidR="00EE1D63" w:rsidRPr="00EE1D63" w:rsidRDefault="00EE1D63" w:rsidP="00EE1D63">
      <w:pPr>
        <w:autoSpaceDE w:val="0"/>
        <w:autoSpaceDN w:val="0"/>
        <w:adjustRightInd w:val="0"/>
        <w:spacing w:after="0" w:line="480" w:lineRule="auto"/>
        <w:jc w:val="both"/>
        <w:rPr>
          <w:rFonts w:ascii="Times New Roman" w:eastAsia="Times New Roman" w:hAnsi="Times New Roman"/>
          <w:sz w:val="24"/>
          <w:szCs w:val="24"/>
        </w:rPr>
      </w:pPr>
      <w:proofErr w:type="gramStart"/>
      <w:r w:rsidRPr="00EE1D63">
        <w:rPr>
          <w:rFonts w:ascii="Times New Roman" w:eastAsia="Times New Roman" w:hAnsi="Times New Roman"/>
          <w:sz w:val="24"/>
          <w:szCs w:val="24"/>
        </w:rPr>
        <w:t>where</w:t>
      </w:r>
      <w:proofErr w:type="gramEnd"/>
      <w:r w:rsidRPr="00EE1D63">
        <w:rPr>
          <w:rFonts w:ascii="Times New Roman" w:eastAsia="Times New Roman" w:hAnsi="Times New Roman"/>
          <w:sz w:val="24"/>
          <w:szCs w:val="24"/>
        </w:rPr>
        <w:t xml:space="preserve"> </w:t>
      </w:r>
      <m:oMath>
        <m:r>
          <w:rPr>
            <w:rFonts w:ascii="Cambria Math" w:hAnsi="Cambria Math"/>
            <w:sz w:val="24"/>
            <w:szCs w:val="24"/>
          </w:rPr>
          <m:t>δ</m:t>
        </m:r>
      </m:oMath>
      <w:r w:rsidRPr="00EE1D63">
        <w:rPr>
          <w:rFonts w:ascii="Times New Roman" w:eastAsia="Times New Roman" w:hAnsi="Times New Roman"/>
          <w:sz w:val="24"/>
          <w:szCs w:val="24"/>
        </w:rPr>
        <w:t xml:space="preserve"> is the coefficient of the error-correction term, </w:t>
      </w:r>
      <m:oMath>
        <m:sSub>
          <m:sSubPr>
            <m:ctrlPr>
              <w:rPr>
                <w:rFonts w:ascii="Cambria Math" w:hAnsi="Cambria Math"/>
                <w:i/>
                <w:sz w:val="24"/>
                <w:szCs w:val="24"/>
              </w:rPr>
            </m:ctrlPr>
          </m:sSubPr>
          <m:e>
            <m:r>
              <w:rPr>
                <w:rFonts w:ascii="Cambria Math" w:hAnsi="Cambria Math"/>
                <w:sz w:val="24"/>
                <w:szCs w:val="24"/>
              </w:rPr>
              <m:t>ECM</m:t>
            </m:r>
          </m:e>
          <m:sub>
            <m:r>
              <w:rPr>
                <w:rFonts w:ascii="Cambria Math" w:hAnsi="Cambria Math"/>
                <w:sz w:val="24"/>
                <w:szCs w:val="24"/>
              </w:rPr>
              <m:t>t-1</m:t>
            </m:r>
          </m:sub>
        </m:sSub>
      </m:oMath>
      <w:r w:rsidRPr="00EE1D63">
        <w:rPr>
          <w:rFonts w:ascii="Times New Roman" w:eastAsia="Times New Roman" w:hAnsi="Times New Roman"/>
          <w:sz w:val="24"/>
          <w:szCs w:val="24"/>
        </w:rPr>
        <w:t xml:space="preserve">. </w:t>
      </w:r>
      <m:oMath>
        <m:r>
          <w:rPr>
            <w:rFonts w:ascii="Cambria Math" w:hAnsi="Cambria Math"/>
            <w:sz w:val="24"/>
            <w:szCs w:val="24"/>
          </w:rPr>
          <m:t>δ</m:t>
        </m:r>
      </m:oMath>
      <w:r w:rsidRPr="00EE1D63">
        <w:rPr>
          <w:rFonts w:ascii="Times New Roman" w:eastAsia="Times New Roman" w:hAnsi="Times New Roman"/>
          <w:sz w:val="24"/>
          <w:szCs w:val="24"/>
        </w:rPr>
        <w:t xml:space="preserve"> </w:t>
      </w:r>
      <w:proofErr w:type="gramStart"/>
      <w:r w:rsidRPr="00EE1D63">
        <w:rPr>
          <w:rFonts w:ascii="Times New Roman" w:eastAsia="Times New Roman" w:hAnsi="Times New Roman"/>
          <w:sz w:val="24"/>
          <w:szCs w:val="24"/>
        </w:rPr>
        <w:t>is</w:t>
      </w:r>
      <w:proofErr w:type="gramEnd"/>
      <w:r w:rsidRPr="00EE1D63">
        <w:rPr>
          <w:rFonts w:ascii="Times New Roman" w:eastAsia="Times New Roman" w:hAnsi="Times New Roman"/>
          <w:sz w:val="24"/>
          <w:szCs w:val="24"/>
        </w:rPr>
        <w:t xml:space="preserve"> expected to be negative; so that when the variables drift apart in the short run, they quickly adjust back to their equilibrium levels.</w:t>
      </w:r>
    </w:p>
    <w:p w:rsidR="00EE1D63" w:rsidRPr="00EE1D63" w:rsidRDefault="00EE1D63" w:rsidP="00EE1D63">
      <w:pPr>
        <w:autoSpaceDE w:val="0"/>
        <w:autoSpaceDN w:val="0"/>
        <w:adjustRightInd w:val="0"/>
        <w:spacing w:after="0" w:line="480" w:lineRule="auto"/>
        <w:jc w:val="both"/>
        <w:rPr>
          <w:rFonts w:ascii="Times New Roman" w:eastAsia="Times New Roman" w:hAnsi="Times New Roman"/>
          <w:sz w:val="24"/>
          <w:szCs w:val="24"/>
        </w:rPr>
      </w:pPr>
    </w:p>
    <w:p w:rsidR="00EE1D63" w:rsidRPr="00EE1D63" w:rsidRDefault="00EE1D63" w:rsidP="00EE1D63">
      <w:pPr>
        <w:spacing w:line="480" w:lineRule="auto"/>
        <w:jc w:val="both"/>
        <w:rPr>
          <w:rFonts w:ascii="Times New Roman" w:hAnsi="Times New Roman"/>
          <w:b/>
          <w:sz w:val="24"/>
          <w:szCs w:val="24"/>
        </w:rPr>
      </w:pPr>
      <w:r w:rsidRPr="00EE1D63">
        <w:rPr>
          <w:rFonts w:ascii="Times New Roman" w:hAnsi="Times New Roman"/>
          <w:b/>
          <w:sz w:val="24"/>
          <w:szCs w:val="24"/>
        </w:rPr>
        <w:t>5. The Estimated Equilibrium Real Exchange Rate for Botswana</w:t>
      </w:r>
    </w:p>
    <w:p w:rsidR="00EE1D63" w:rsidRPr="00EE1D63" w:rsidRDefault="00EE1D63" w:rsidP="00EE1D63">
      <w:pPr>
        <w:tabs>
          <w:tab w:val="left" w:pos="1500"/>
        </w:tabs>
        <w:spacing w:line="480" w:lineRule="auto"/>
        <w:jc w:val="both"/>
        <w:rPr>
          <w:rFonts w:ascii="Times New Roman" w:hAnsi="Times New Roman"/>
          <w:bCs/>
          <w:sz w:val="24"/>
          <w:szCs w:val="24"/>
        </w:rPr>
      </w:pPr>
      <w:r w:rsidRPr="00EE1D63">
        <w:rPr>
          <w:rFonts w:ascii="Times New Roman" w:hAnsi="Times New Roman"/>
          <w:bCs/>
          <w:sz w:val="24"/>
          <w:szCs w:val="24"/>
        </w:rPr>
        <w:t>The determinants of the equilibrium real exchange rate in Botswana were extracted, by drawing insight from the empirical literature we have discussed earlier. We extracted the real effective exchange rate (REER)</w:t>
      </w:r>
      <w:r w:rsidRPr="00EE1D63">
        <w:rPr>
          <w:rStyle w:val="FootnoteReference"/>
          <w:bCs/>
          <w:sz w:val="24"/>
          <w:szCs w:val="24"/>
        </w:rPr>
        <w:footnoteReference w:id="5"/>
      </w:r>
      <w:r w:rsidRPr="00EE1D63">
        <w:rPr>
          <w:rFonts w:ascii="Times New Roman" w:hAnsi="Times New Roman"/>
          <w:bCs/>
          <w:sz w:val="24"/>
          <w:szCs w:val="24"/>
        </w:rPr>
        <w:t>, the ratio of government consumption to GDP (GCR), trade openness (OPEN)</w:t>
      </w:r>
      <w:r w:rsidRPr="00EE1D63">
        <w:rPr>
          <w:rStyle w:val="FootnoteReference"/>
          <w:bCs/>
          <w:sz w:val="24"/>
          <w:szCs w:val="24"/>
        </w:rPr>
        <w:footnoteReference w:id="6"/>
      </w:r>
      <w:r w:rsidRPr="00EE1D63">
        <w:rPr>
          <w:rFonts w:ascii="Times New Roman" w:hAnsi="Times New Roman"/>
          <w:bCs/>
          <w:sz w:val="24"/>
          <w:szCs w:val="24"/>
        </w:rPr>
        <w:t>, terms of trade (TOT)</w:t>
      </w:r>
      <w:r w:rsidRPr="00EE1D63">
        <w:rPr>
          <w:rStyle w:val="FootnoteReference"/>
          <w:bCs/>
          <w:sz w:val="24"/>
          <w:szCs w:val="24"/>
        </w:rPr>
        <w:footnoteReference w:id="7"/>
      </w:r>
      <w:r w:rsidRPr="00EE1D63">
        <w:rPr>
          <w:rFonts w:ascii="Times New Roman" w:hAnsi="Times New Roman"/>
          <w:bCs/>
          <w:sz w:val="24"/>
          <w:szCs w:val="24"/>
        </w:rPr>
        <w:t>, net foreign assets to GDP (NFAR), and the world economic growth (WGDPG) from the World Development Indicators (WDI), 2014. The data on real commodity price index (RCPI)</w:t>
      </w:r>
      <w:r w:rsidRPr="00EE1D63">
        <w:rPr>
          <w:rStyle w:val="FootnoteReference"/>
          <w:bCs/>
          <w:sz w:val="24"/>
          <w:szCs w:val="24"/>
        </w:rPr>
        <w:footnoteReference w:id="8"/>
      </w:r>
      <w:r w:rsidRPr="00EE1D63">
        <w:rPr>
          <w:rFonts w:ascii="Times New Roman" w:hAnsi="Times New Roman"/>
          <w:bCs/>
          <w:sz w:val="24"/>
          <w:szCs w:val="24"/>
        </w:rPr>
        <w:t xml:space="preserve"> were extracted from the Global Economic Monitor (GEM) Commodities, 2014.</w:t>
      </w:r>
    </w:p>
    <w:p w:rsidR="00EE1D63" w:rsidRPr="00EE1D63" w:rsidRDefault="00EE1D63" w:rsidP="00EE1D63">
      <w:pPr>
        <w:tabs>
          <w:tab w:val="left" w:pos="1500"/>
        </w:tabs>
        <w:autoSpaceDE w:val="0"/>
        <w:autoSpaceDN w:val="0"/>
        <w:adjustRightInd w:val="0"/>
        <w:spacing w:line="480" w:lineRule="auto"/>
        <w:jc w:val="both"/>
        <w:rPr>
          <w:rFonts w:ascii="Times New Roman" w:eastAsia="Times New Roman" w:hAnsi="Times New Roman"/>
          <w:bCs/>
          <w:sz w:val="24"/>
          <w:szCs w:val="24"/>
        </w:rPr>
      </w:pPr>
      <w:r w:rsidRPr="00EE1D63">
        <w:rPr>
          <w:rFonts w:ascii="Times New Roman" w:eastAsia="Times New Roman" w:hAnsi="Times New Roman"/>
          <w:bCs/>
          <w:sz w:val="24"/>
          <w:szCs w:val="24"/>
        </w:rPr>
        <w:t xml:space="preserve">As a preliminary analysis, prior to estimating the equilibrium real exchange rate for Botswana, we examined the stationary properties of the variables. We employed the Dickey-Fuller </w:t>
      </w:r>
      <w:r w:rsidRPr="00EE1D63">
        <w:rPr>
          <w:rFonts w:ascii="Times New Roman" w:eastAsia="Times New Roman" w:hAnsi="Times New Roman"/>
          <w:bCs/>
          <w:sz w:val="24"/>
          <w:szCs w:val="24"/>
        </w:rPr>
        <w:lastRenderedPageBreak/>
        <w:t>Generalized Least Squares (DF-GLS) and the Ng-</w:t>
      </w:r>
      <w:proofErr w:type="spellStart"/>
      <w:r w:rsidRPr="00EE1D63">
        <w:rPr>
          <w:rFonts w:ascii="Times New Roman" w:eastAsia="Times New Roman" w:hAnsi="Times New Roman"/>
          <w:bCs/>
          <w:sz w:val="24"/>
          <w:szCs w:val="24"/>
        </w:rPr>
        <w:t>Perron</w:t>
      </w:r>
      <w:proofErr w:type="spellEnd"/>
      <w:r w:rsidRPr="00EE1D63">
        <w:rPr>
          <w:rFonts w:ascii="Times New Roman" w:eastAsia="Times New Roman" w:hAnsi="Times New Roman"/>
          <w:bCs/>
          <w:sz w:val="24"/>
          <w:szCs w:val="24"/>
        </w:rPr>
        <w:t xml:space="preserve"> tests, proposed by Elliot </w:t>
      </w:r>
      <w:r w:rsidRPr="00EE1D63">
        <w:rPr>
          <w:rFonts w:ascii="Times New Roman" w:eastAsia="Times New Roman" w:hAnsi="Times New Roman"/>
          <w:bCs/>
          <w:i/>
          <w:iCs/>
          <w:sz w:val="24"/>
          <w:szCs w:val="24"/>
        </w:rPr>
        <w:t>et al.</w:t>
      </w:r>
      <w:r w:rsidRPr="00EE1D63">
        <w:rPr>
          <w:rFonts w:ascii="Times New Roman" w:eastAsia="Times New Roman" w:hAnsi="Times New Roman"/>
          <w:bCs/>
          <w:sz w:val="24"/>
          <w:szCs w:val="24"/>
        </w:rPr>
        <w:t xml:space="preserve"> (1996), and Ng and </w:t>
      </w:r>
      <w:proofErr w:type="spellStart"/>
      <w:r w:rsidRPr="00EE1D63">
        <w:rPr>
          <w:rFonts w:ascii="Times New Roman" w:eastAsia="Times New Roman" w:hAnsi="Times New Roman"/>
          <w:bCs/>
          <w:sz w:val="24"/>
          <w:szCs w:val="24"/>
        </w:rPr>
        <w:t>Perron</w:t>
      </w:r>
      <w:proofErr w:type="spellEnd"/>
      <w:r w:rsidRPr="00EE1D63">
        <w:rPr>
          <w:rFonts w:ascii="Times New Roman" w:eastAsia="Times New Roman" w:hAnsi="Times New Roman"/>
          <w:bCs/>
          <w:sz w:val="24"/>
          <w:szCs w:val="24"/>
        </w:rPr>
        <w:t xml:space="preserve"> (2001), respectively. Our choice was influenced by the fact that the canonical tests for stationarity (such as the ADF and PP tests) were found to reject the null hypothesis of unit root, when the time series under consideration has a large and negative moving average (MA) component, even when there is a unit root (see </w:t>
      </w:r>
      <w:proofErr w:type="spellStart"/>
      <w:r w:rsidRPr="00EE1D63">
        <w:rPr>
          <w:rFonts w:ascii="Times New Roman" w:eastAsia="Times New Roman" w:hAnsi="Times New Roman"/>
          <w:bCs/>
          <w:sz w:val="24"/>
          <w:szCs w:val="24"/>
        </w:rPr>
        <w:t>Schwert</w:t>
      </w:r>
      <w:proofErr w:type="spellEnd"/>
      <w:r w:rsidRPr="00EE1D63">
        <w:rPr>
          <w:rFonts w:ascii="Times New Roman" w:eastAsia="Times New Roman" w:hAnsi="Times New Roman"/>
          <w:bCs/>
          <w:sz w:val="24"/>
          <w:szCs w:val="24"/>
        </w:rPr>
        <w:t xml:space="preserve">, 1986; Caner and Killian, 2001). Elliot </w:t>
      </w:r>
      <w:r w:rsidRPr="00EE1D63">
        <w:rPr>
          <w:rFonts w:ascii="Times New Roman" w:eastAsia="Times New Roman" w:hAnsi="Times New Roman"/>
          <w:bCs/>
          <w:i/>
          <w:iCs/>
          <w:sz w:val="24"/>
          <w:szCs w:val="24"/>
        </w:rPr>
        <w:t>et al.</w:t>
      </w:r>
      <w:r w:rsidRPr="00EE1D63">
        <w:rPr>
          <w:rFonts w:ascii="Times New Roman" w:eastAsia="Times New Roman" w:hAnsi="Times New Roman"/>
          <w:bCs/>
          <w:sz w:val="24"/>
          <w:szCs w:val="24"/>
        </w:rPr>
        <w:t xml:space="preserve"> (1996), and Ng and </w:t>
      </w:r>
      <w:proofErr w:type="spellStart"/>
      <w:r w:rsidRPr="00EE1D63">
        <w:rPr>
          <w:rFonts w:ascii="Times New Roman" w:eastAsia="Times New Roman" w:hAnsi="Times New Roman"/>
          <w:bCs/>
          <w:sz w:val="24"/>
          <w:szCs w:val="24"/>
        </w:rPr>
        <w:t>Perron</w:t>
      </w:r>
      <w:proofErr w:type="spellEnd"/>
      <w:r w:rsidRPr="00EE1D63">
        <w:rPr>
          <w:rFonts w:ascii="Times New Roman" w:eastAsia="Times New Roman" w:hAnsi="Times New Roman"/>
          <w:bCs/>
          <w:sz w:val="24"/>
          <w:szCs w:val="24"/>
        </w:rPr>
        <w:t xml:space="preserve"> (2001) demonstrated, respectively, that the DF-GLS and the Ng-</w:t>
      </w:r>
      <w:proofErr w:type="spellStart"/>
      <w:r w:rsidRPr="00EE1D63">
        <w:rPr>
          <w:rFonts w:ascii="Times New Roman" w:eastAsia="Times New Roman" w:hAnsi="Times New Roman"/>
          <w:bCs/>
          <w:sz w:val="24"/>
          <w:szCs w:val="24"/>
        </w:rPr>
        <w:t>Perron</w:t>
      </w:r>
      <w:proofErr w:type="spellEnd"/>
      <w:r w:rsidRPr="00EE1D63">
        <w:rPr>
          <w:rFonts w:ascii="Times New Roman" w:eastAsia="Times New Roman" w:hAnsi="Times New Roman"/>
          <w:bCs/>
          <w:sz w:val="24"/>
          <w:szCs w:val="24"/>
        </w:rPr>
        <w:t xml:space="preserve"> tests have substantially higher power – even when the root of the time series is closer to unity.</w:t>
      </w:r>
    </w:p>
    <w:p w:rsidR="00EE1D63" w:rsidRPr="00EE1D63" w:rsidRDefault="00EE1D63" w:rsidP="00EE1D63">
      <w:pPr>
        <w:tabs>
          <w:tab w:val="left" w:pos="1500"/>
        </w:tabs>
        <w:autoSpaceDE w:val="0"/>
        <w:autoSpaceDN w:val="0"/>
        <w:adjustRightInd w:val="0"/>
        <w:spacing w:after="0" w:line="480" w:lineRule="auto"/>
        <w:jc w:val="both"/>
        <w:rPr>
          <w:rFonts w:ascii="Times New Roman" w:eastAsia="Times New Roman" w:hAnsi="Times New Roman"/>
          <w:bCs/>
          <w:sz w:val="24"/>
          <w:szCs w:val="24"/>
        </w:rPr>
      </w:pPr>
      <w:r w:rsidRPr="00EE1D63">
        <w:rPr>
          <w:rFonts w:ascii="Times New Roman" w:eastAsia="Times New Roman" w:hAnsi="Times New Roman"/>
          <w:bCs/>
          <w:sz w:val="24"/>
          <w:szCs w:val="24"/>
        </w:rPr>
        <w:t>All the variables employed in the equilibrium real exchange rate model for Botswana were found to be stationary at the 1 per cent level of significance, when differenced once, except WGDPG, which was stationary at level. Trend was not included in each of the tests, as the graph of the variables</w:t>
      </w:r>
      <w:r w:rsidRPr="00EE1D63">
        <w:rPr>
          <w:rFonts w:ascii="Times New Roman" w:eastAsia="Times New Roman" w:hAnsi="Times New Roman"/>
          <w:bCs/>
          <w:sz w:val="24"/>
          <w:szCs w:val="24"/>
          <w:vertAlign w:val="superscript"/>
        </w:rPr>
        <w:footnoteReference w:id="9"/>
      </w:r>
      <w:r w:rsidRPr="00EE1D63">
        <w:rPr>
          <w:rFonts w:ascii="Times New Roman" w:eastAsia="Times New Roman" w:hAnsi="Times New Roman"/>
          <w:bCs/>
          <w:sz w:val="24"/>
          <w:szCs w:val="24"/>
        </w:rPr>
        <w:t xml:space="preserve"> did not indicate any significant trending phenomenon. Besides, lag choice was limited to a maximum of 4, using the Modified </w:t>
      </w:r>
      <w:proofErr w:type="spellStart"/>
      <w:r w:rsidRPr="00EE1D63">
        <w:rPr>
          <w:rFonts w:ascii="Times New Roman" w:eastAsia="Times New Roman" w:hAnsi="Times New Roman"/>
          <w:bCs/>
          <w:sz w:val="24"/>
          <w:szCs w:val="24"/>
        </w:rPr>
        <w:t>Akaike</w:t>
      </w:r>
      <w:proofErr w:type="spellEnd"/>
      <w:r w:rsidRPr="00EE1D63">
        <w:rPr>
          <w:rFonts w:ascii="Times New Roman" w:eastAsia="Times New Roman" w:hAnsi="Times New Roman"/>
          <w:bCs/>
          <w:sz w:val="24"/>
          <w:szCs w:val="24"/>
        </w:rPr>
        <w:t xml:space="preserve"> Information Criterion (MAIC). This choice was informed by the small size of the dataset.</w:t>
      </w:r>
    </w:p>
    <w:p w:rsidR="00EE1D63" w:rsidRPr="00EE1D63" w:rsidRDefault="00EE1D63" w:rsidP="00EE1D63">
      <w:pPr>
        <w:tabs>
          <w:tab w:val="left" w:pos="1500"/>
        </w:tabs>
        <w:autoSpaceDE w:val="0"/>
        <w:autoSpaceDN w:val="0"/>
        <w:adjustRightInd w:val="0"/>
        <w:spacing w:after="0" w:line="480" w:lineRule="auto"/>
        <w:jc w:val="both"/>
        <w:rPr>
          <w:rFonts w:ascii="Times New Roman" w:eastAsia="Times New Roman" w:hAnsi="Times New Roman"/>
          <w:bCs/>
          <w:sz w:val="24"/>
          <w:szCs w:val="24"/>
        </w:rPr>
      </w:pPr>
    </w:p>
    <w:p w:rsidR="00EE1D63" w:rsidRDefault="00EE1D63" w:rsidP="00EE1D63">
      <w:pPr>
        <w:tabs>
          <w:tab w:val="left" w:pos="1500"/>
        </w:tabs>
        <w:autoSpaceDE w:val="0"/>
        <w:autoSpaceDN w:val="0"/>
        <w:adjustRightInd w:val="0"/>
        <w:spacing w:after="0" w:line="480" w:lineRule="auto"/>
        <w:jc w:val="both"/>
        <w:rPr>
          <w:rFonts w:ascii="Times New Roman" w:eastAsia="Times New Roman" w:hAnsi="Times New Roman"/>
          <w:bCs/>
          <w:sz w:val="24"/>
          <w:szCs w:val="24"/>
        </w:rPr>
      </w:pPr>
    </w:p>
    <w:p w:rsidR="00EE1D63" w:rsidRDefault="00EE1D63" w:rsidP="00EE1D63">
      <w:pPr>
        <w:tabs>
          <w:tab w:val="left" w:pos="1500"/>
        </w:tabs>
        <w:autoSpaceDE w:val="0"/>
        <w:autoSpaceDN w:val="0"/>
        <w:adjustRightInd w:val="0"/>
        <w:spacing w:after="0" w:line="480" w:lineRule="auto"/>
        <w:jc w:val="both"/>
        <w:rPr>
          <w:rFonts w:ascii="Times New Roman" w:eastAsia="Times New Roman" w:hAnsi="Times New Roman"/>
          <w:bCs/>
          <w:sz w:val="24"/>
          <w:szCs w:val="24"/>
        </w:rPr>
      </w:pPr>
    </w:p>
    <w:p w:rsidR="00EE1D63" w:rsidRDefault="00EE1D63" w:rsidP="00EE1D63">
      <w:pPr>
        <w:tabs>
          <w:tab w:val="left" w:pos="1500"/>
        </w:tabs>
        <w:autoSpaceDE w:val="0"/>
        <w:autoSpaceDN w:val="0"/>
        <w:adjustRightInd w:val="0"/>
        <w:spacing w:after="0" w:line="480" w:lineRule="auto"/>
        <w:jc w:val="both"/>
        <w:rPr>
          <w:rFonts w:ascii="Times New Roman" w:eastAsia="Times New Roman" w:hAnsi="Times New Roman"/>
          <w:bCs/>
          <w:sz w:val="24"/>
          <w:szCs w:val="24"/>
        </w:rPr>
      </w:pPr>
    </w:p>
    <w:p w:rsidR="00EE1D63" w:rsidRDefault="00EE1D63" w:rsidP="00EE1D63">
      <w:pPr>
        <w:tabs>
          <w:tab w:val="left" w:pos="1500"/>
        </w:tabs>
        <w:autoSpaceDE w:val="0"/>
        <w:autoSpaceDN w:val="0"/>
        <w:adjustRightInd w:val="0"/>
        <w:spacing w:after="0" w:line="480" w:lineRule="auto"/>
        <w:jc w:val="both"/>
        <w:rPr>
          <w:rFonts w:ascii="Times New Roman" w:eastAsia="Times New Roman" w:hAnsi="Times New Roman"/>
          <w:bCs/>
          <w:sz w:val="24"/>
          <w:szCs w:val="24"/>
        </w:rPr>
      </w:pPr>
    </w:p>
    <w:p w:rsidR="00EE1D63" w:rsidRDefault="00EE1D63" w:rsidP="00EE1D63">
      <w:pPr>
        <w:tabs>
          <w:tab w:val="left" w:pos="1500"/>
        </w:tabs>
        <w:autoSpaceDE w:val="0"/>
        <w:autoSpaceDN w:val="0"/>
        <w:adjustRightInd w:val="0"/>
        <w:spacing w:after="0" w:line="480" w:lineRule="auto"/>
        <w:jc w:val="both"/>
        <w:rPr>
          <w:rFonts w:ascii="Times New Roman" w:eastAsia="Times New Roman" w:hAnsi="Times New Roman"/>
          <w:bCs/>
          <w:sz w:val="24"/>
          <w:szCs w:val="24"/>
        </w:rPr>
      </w:pPr>
    </w:p>
    <w:p w:rsidR="00EE1D63" w:rsidRPr="00EE1D63" w:rsidRDefault="00EE1D63" w:rsidP="00EE1D63">
      <w:pPr>
        <w:tabs>
          <w:tab w:val="left" w:pos="1500"/>
        </w:tabs>
        <w:autoSpaceDE w:val="0"/>
        <w:autoSpaceDN w:val="0"/>
        <w:adjustRightInd w:val="0"/>
        <w:spacing w:after="0" w:line="480" w:lineRule="auto"/>
        <w:jc w:val="both"/>
        <w:rPr>
          <w:rFonts w:ascii="Times New Roman" w:eastAsia="Times New Roman" w:hAnsi="Times New Roman"/>
          <w:bCs/>
          <w:sz w:val="24"/>
          <w:szCs w:val="24"/>
        </w:rPr>
      </w:pPr>
    </w:p>
    <w:p w:rsidR="00EE1D63" w:rsidRPr="00EE1D63" w:rsidRDefault="00EE1D63" w:rsidP="00EE1D63">
      <w:pPr>
        <w:tabs>
          <w:tab w:val="left" w:pos="1500"/>
        </w:tabs>
        <w:spacing w:after="0"/>
        <w:jc w:val="both"/>
        <w:rPr>
          <w:rFonts w:asciiTheme="majorBidi" w:hAnsiTheme="majorBidi" w:cstheme="majorBidi"/>
          <w:sz w:val="24"/>
          <w:szCs w:val="24"/>
        </w:rPr>
      </w:pPr>
      <w:r w:rsidRPr="00EE1D63">
        <w:rPr>
          <w:rFonts w:asciiTheme="majorBidi" w:hAnsiTheme="majorBidi" w:cstheme="majorBidi"/>
          <w:b/>
          <w:bCs/>
          <w:sz w:val="24"/>
          <w:szCs w:val="24"/>
        </w:rPr>
        <w:lastRenderedPageBreak/>
        <w:t>Table 1:</w:t>
      </w:r>
      <w:r w:rsidRPr="00EE1D63">
        <w:rPr>
          <w:rFonts w:asciiTheme="majorBidi" w:hAnsiTheme="majorBidi" w:cstheme="majorBidi"/>
          <w:sz w:val="24"/>
          <w:szCs w:val="24"/>
        </w:rPr>
        <w:t xml:space="preserve"> Tests for Unit Roots of the Variables </w:t>
      </w:r>
    </w:p>
    <w:tbl>
      <w:tblPr>
        <w:tblStyle w:val="LightShading"/>
        <w:tblW w:w="0" w:type="auto"/>
        <w:shd w:val="clear" w:color="auto" w:fill="FFFFFF" w:themeFill="background1"/>
        <w:tblLook w:val="04A0" w:firstRow="1" w:lastRow="0" w:firstColumn="1" w:lastColumn="0" w:noHBand="0" w:noVBand="1"/>
      </w:tblPr>
      <w:tblGrid>
        <w:gridCol w:w="3192"/>
        <w:gridCol w:w="3192"/>
        <w:gridCol w:w="3192"/>
      </w:tblGrid>
      <w:tr w:rsidR="00EE1D63" w:rsidRPr="00EE1D63" w:rsidTr="008F30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FFFFFF" w:themeFill="background1"/>
          </w:tcPr>
          <w:p w:rsidR="00EE1D63" w:rsidRPr="00EE1D63" w:rsidRDefault="00EE1D63" w:rsidP="008F303E">
            <w:pPr>
              <w:tabs>
                <w:tab w:val="left" w:pos="1500"/>
              </w:tabs>
              <w:jc w:val="center"/>
              <w:rPr>
                <w:rFonts w:asciiTheme="majorBidi" w:hAnsiTheme="majorBidi" w:cstheme="majorBidi"/>
                <w:b w:val="0"/>
                <w:bCs w:val="0"/>
                <w:color w:val="auto"/>
              </w:rPr>
            </w:pPr>
            <w:r w:rsidRPr="00EE1D63">
              <w:rPr>
                <w:rFonts w:asciiTheme="majorBidi" w:hAnsiTheme="majorBidi" w:cstheme="majorBidi"/>
                <w:b w:val="0"/>
                <w:bCs w:val="0"/>
                <w:color w:val="auto"/>
              </w:rPr>
              <w:t>Variable</w:t>
            </w:r>
          </w:p>
        </w:tc>
        <w:tc>
          <w:tcPr>
            <w:tcW w:w="3192" w:type="dxa"/>
            <w:shd w:val="clear" w:color="auto" w:fill="FFFFFF" w:themeFill="background1"/>
          </w:tcPr>
          <w:p w:rsidR="00EE1D63" w:rsidRPr="00EE1D63" w:rsidRDefault="00EE1D63" w:rsidP="008F303E">
            <w:pPr>
              <w:tabs>
                <w:tab w:val="left" w:pos="150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Pr>
            </w:pPr>
            <w:r w:rsidRPr="00EE1D63">
              <w:rPr>
                <w:rFonts w:asciiTheme="majorBidi" w:hAnsiTheme="majorBidi" w:cstheme="majorBidi"/>
                <w:b w:val="0"/>
                <w:bCs w:val="0"/>
                <w:color w:val="auto"/>
              </w:rPr>
              <w:t>DF-GLS</w:t>
            </w:r>
          </w:p>
          <w:p w:rsidR="00EE1D63" w:rsidRPr="00EE1D63" w:rsidRDefault="00EE1D63" w:rsidP="008F303E">
            <w:pPr>
              <w:tabs>
                <w:tab w:val="left" w:pos="150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Pr>
            </w:pPr>
            <w:r w:rsidRPr="00EE1D63">
              <w:rPr>
                <w:rFonts w:asciiTheme="majorBidi" w:hAnsiTheme="majorBidi" w:cstheme="majorBidi"/>
                <w:b w:val="0"/>
                <w:bCs w:val="0"/>
                <w:color w:val="auto"/>
              </w:rPr>
              <w:t>t-statistic</w:t>
            </w:r>
          </w:p>
        </w:tc>
        <w:tc>
          <w:tcPr>
            <w:tcW w:w="3192" w:type="dxa"/>
            <w:shd w:val="clear" w:color="auto" w:fill="FFFFFF" w:themeFill="background1"/>
          </w:tcPr>
          <w:p w:rsidR="00EE1D63" w:rsidRPr="00EE1D63" w:rsidRDefault="00EE1D63" w:rsidP="008F303E">
            <w:pPr>
              <w:tabs>
                <w:tab w:val="left" w:pos="150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Pr>
            </w:pPr>
            <w:r w:rsidRPr="00EE1D63">
              <w:rPr>
                <w:rFonts w:asciiTheme="majorBidi" w:hAnsiTheme="majorBidi" w:cstheme="majorBidi"/>
                <w:b w:val="0"/>
                <w:bCs w:val="0"/>
                <w:color w:val="auto"/>
              </w:rPr>
              <w:t>Ng-</w:t>
            </w:r>
            <w:proofErr w:type="spellStart"/>
            <w:r w:rsidRPr="00EE1D63">
              <w:rPr>
                <w:rFonts w:asciiTheme="majorBidi" w:hAnsiTheme="majorBidi" w:cstheme="majorBidi"/>
                <w:b w:val="0"/>
                <w:bCs w:val="0"/>
                <w:color w:val="auto"/>
              </w:rPr>
              <w:t>Perron</w:t>
            </w:r>
            <w:proofErr w:type="spellEnd"/>
          </w:p>
          <w:p w:rsidR="00EE1D63" w:rsidRPr="00EE1D63" w:rsidRDefault="00EE1D63" w:rsidP="008F303E">
            <w:pPr>
              <w:tabs>
                <w:tab w:val="left" w:pos="150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Pr>
            </w:pPr>
            <w:proofErr w:type="spellStart"/>
            <w:r w:rsidRPr="00EE1D63">
              <w:rPr>
                <w:rFonts w:asciiTheme="majorBidi" w:hAnsiTheme="majorBidi" w:cstheme="majorBidi"/>
                <w:b w:val="0"/>
                <w:bCs w:val="0"/>
                <w:color w:val="auto"/>
              </w:rPr>
              <w:t>MZ</w:t>
            </w:r>
            <w:r w:rsidRPr="00EE1D63">
              <w:rPr>
                <w:rFonts w:asciiTheme="majorBidi" w:hAnsiTheme="majorBidi" w:cstheme="majorBidi"/>
                <w:b w:val="0"/>
                <w:bCs w:val="0"/>
                <w:color w:val="auto"/>
                <w:vertAlign w:val="subscript"/>
              </w:rPr>
              <w:t>a</w:t>
            </w:r>
            <w:proofErr w:type="spellEnd"/>
            <w:r w:rsidRPr="00EE1D63">
              <w:rPr>
                <w:rFonts w:asciiTheme="majorBidi" w:hAnsiTheme="majorBidi" w:cstheme="majorBidi"/>
                <w:b w:val="0"/>
                <w:bCs w:val="0"/>
                <w:color w:val="auto"/>
              </w:rPr>
              <w:t>-statistic</w:t>
            </w:r>
          </w:p>
        </w:tc>
      </w:tr>
      <w:tr w:rsidR="00EE1D63" w:rsidRPr="00EE1D63" w:rsidTr="008F3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FFFFFF" w:themeFill="background1"/>
          </w:tcPr>
          <w:p w:rsidR="00EE1D63" w:rsidRPr="00EE1D63" w:rsidRDefault="00EE1D63" w:rsidP="008F303E">
            <w:pPr>
              <w:tabs>
                <w:tab w:val="left" w:pos="1500"/>
              </w:tabs>
              <w:jc w:val="both"/>
              <w:rPr>
                <w:rFonts w:asciiTheme="majorBidi" w:hAnsiTheme="majorBidi" w:cstheme="majorBidi"/>
                <w:b w:val="0"/>
                <w:bCs w:val="0"/>
                <w:color w:val="auto"/>
              </w:rPr>
            </w:pPr>
            <w:r w:rsidRPr="00EE1D63">
              <w:rPr>
                <w:rFonts w:asciiTheme="majorBidi" w:hAnsiTheme="majorBidi" w:cstheme="majorBidi"/>
                <w:b w:val="0"/>
                <w:bCs w:val="0"/>
                <w:color w:val="auto"/>
              </w:rPr>
              <w:t>LNREER</w:t>
            </w:r>
          </w:p>
          <w:p w:rsidR="00EE1D63" w:rsidRPr="00EE1D63" w:rsidRDefault="00EE1D63" w:rsidP="008F303E">
            <w:pPr>
              <w:tabs>
                <w:tab w:val="left" w:pos="1500"/>
              </w:tabs>
              <w:jc w:val="both"/>
              <w:rPr>
                <w:rFonts w:asciiTheme="majorBidi" w:hAnsiTheme="majorBidi" w:cstheme="majorBidi"/>
                <w:b w:val="0"/>
                <w:bCs w:val="0"/>
                <w:color w:val="auto"/>
              </w:rPr>
            </w:pPr>
            <w:r w:rsidRPr="00EE1D63">
              <w:rPr>
                <w:rFonts w:asciiTheme="majorBidi" w:hAnsiTheme="majorBidi" w:cstheme="majorBidi"/>
                <w:b w:val="0"/>
                <w:bCs w:val="0"/>
                <w:color w:val="auto"/>
              </w:rPr>
              <w:t>∆LNREER</w:t>
            </w:r>
          </w:p>
          <w:p w:rsidR="00EE1D63" w:rsidRPr="00EE1D63" w:rsidRDefault="00EE1D63" w:rsidP="008F303E">
            <w:pPr>
              <w:tabs>
                <w:tab w:val="left" w:pos="1500"/>
              </w:tabs>
              <w:jc w:val="both"/>
              <w:rPr>
                <w:rFonts w:asciiTheme="majorBidi" w:hAnsiTheme="majorBidi" w:cstheme="majorBidi"/>
                <w:b w:val="0"/>
                <w:bCs w:val="0"/>
                <w:color w:val="auto"/>
              </w:rPr>
            </w:pPr>
            <w:r w:rsidRPr="00EE1D63">
              <w:rPr>
                <w:rFonts w:asciiTheme="majorBidi" w:hAnsiTheme="majorBidi" w:cstheme="majorBidi"/>
                <w:b w:val="0"/>
                <w:bCs w:val="0"/>
                <w:color w:val="auto"/>
              </w:rPr>
              <w:t>LNGCR</w:t>
            </w:r>
          </w:p>
          <w:p w:rsidR="00EE1D63" w:rsidRPr="00EE1D63" w:rsidRDefault="00EE1D63" w:rsidP="008F303E">
            <w:pPr>
              <w:tabs>
                <w:tab w:val="left" w:pos="1500"/>
              </w:tabs>
              <w:jc w:val="both"/>
              <w:rPr>
                <w:rFonts w:asciiTheme="majorBidi" w:hAnsiTheme="majorBidi" w:cstheme="majorBidi"/>
                <w:b w:val="0"/>
                <w:bCs w:val="0"/>
                <w:color w:val="auto"/>
              </w:rPr>
            </w:pPr>
            <w:r w:rsidRPr="00EE1D63">
              <w:rPr>
                <w:rFonts w:asciiTheme="majorBidi" w:hAnsiTheme="majorBidi" w:cstheme="majorBidi"/>
                <w:b w:val="0"/>
                <w:bCs w:val="0"/>
                <w:color w:val="auto"/>
              </w:rPr>
              <w:t>∆LNGCR</w:t>
            </w:r>
          </w:p>
          <w:p w:rsidR="00EE1D63" w:rsidRPr="00EE1D63" w:rsidRDefault="00EE1D63" w:rsidP="008F303E">
            <w:pPr>
              <w:tabs>
                <w:tab w:val="left" w:pos="1500"/>
              </w:tabs>
              <w:jc w:val="both"/>
              <w:rPr>
                <w:rFonts w:asciiTheme="majorBidi" w:hAnsiTheme="majorBidi" w:cstheme="majorBidi"/>
                <w:b w:val="0"/>
                <w:bCs w:val="0"/>
                <w:color w:val="auto"/>
              </w:rPr>
            </w:pPr>
            <w:r w:rsidRPr="00EE1D63">
              <w:rPr>
                <w:rFonts w:asciiTheme="majorBidi" w:hAnsiTheme="majorBidi" w:cstheme="majorBidi"/>
                <w:b w:val="0"/>
                <w:bCs w:val="0"/>
                <w:color w:val="auto"/>
              </w:rPr>
              <w:t>LNNFAR</w:t>
            </w:r>
          </w:p>
          <w:p w:rsidR="00EE1D63" w:rsidRPr="00EE1D63" w:rsidRDefault="00EE1D63" w:rsidP="008F303E">
            <w:pPr>
              <w:tabs>
                <w:tab w:val="left" w:pos="1500"/>
              </w:tabs>
              <w:jc w:val="both"/>
              <w:rPr>
                <w:rFonts w:asciiTheme="majorBidi" w:hAnsiTheme="majorBidi" w:cstheme="majorBidi"/>
                <w:b w:val="0"/>
                <w:bCs w:val="0"/>
                <w:color w:val="auto"/>
              </w:rPr>
            </w:pPr>
            <w:r w:rsidRPr="00EE1D63">
              <w:rPr>
                <w:rFonts w:asciiTheme="majorBidi" w:hAnsiTheme="majorBidi" w:cstheme="majorBidi"/>
                <w:b w:val="0"/>
                <w:bCs w:val="0"/>
                <w:color w:val="auto"/>
              </w:rPr>
              <w:t>∆LNNFAR</w:t>
            </w:r>
          </w:p>
          <w:p w:rsidR="00EE1D63" w:rsidRPr="00EE1D63" w:rsidRDefault="00EE1D63" w:rsidP="008F303E">
            <w:pPr>
              <w:tabs>
                <w:tab w:val="left" w:pos="1500"/>
              </w:tabs>
              <w:jc w:val="both"/>
              <w:rPr>
                <w:rFonts w:asciiTheme="majorBidi" w:hAnsiTheme="majorBidi" w:cstheme="majorBidi"/>
                <w:b w:val="0"/>
                <w:bCs w:val="0"/>
                <w:color w:val="auto"/>
              </w:rPr>
            </w:pPr>
            <w:r w:rsidRPr="00EE1D63">
              <w:rPr>
                <w:rFonts w:asciiTheme="majorBidi" w:hAnsiTheme="majorBidi" w:cstheme="majorBidi"/>
                <w:b w:val="0"/>
                <w:bCs w:val="0"/>
                <w:color w:val="auto"/>
              </w:rPr>
              <w:t>LNOPEN</w:t>
            </w:r>
          </w:p>
          <w:p w:rsidR="00EE1D63" w:rsidRPr="00EE1D63" w:rsidRDefault="00EE1D63" w:rsidP="008F303E">
            <w:pPr>
              <w:tabs>
                <w:tab w:val="left" w:pos="1500"/>
              </w:tabs>
              <w:jc w:val="both"/>
              <w:rPr>
                <w:rFonts w:asciiTheme="majorBidi" w:hAnsiTheme="majorBidi" w:cstheme="majorBidi"/>
                <w:b w:val="0"/>
                <w:bCs w:val="0"/>
                <w:color w:val="auto"/>
              </w:rPr>
            </w:pPr>
            <w:r w:rsidRPr="00EE1D63">
              <w:rPr>
                <w:rFonts w:asciiTheme="majorBidi" w:hAnsiTheme="majorBidi" w:cstheme="majorBidi"/>
                <w:b w:val="0"/>
                <w:bCs w:val="0"/>
                <w:color w:val="auto"/>
              </w:rPr>
              <w:t>∆LNOPEN</w:t>
            </w:r>
          </w:p>
          <w:p w:rsidR="00EE1D63" w:rsidRPr="00EE1D63" w:rsidRDefault="00EE1D63" w:rsidP="008F303E">
            <w:pPr>
              <w:tabs>
                <w:tab w:val="left" w:pos="1500"/>
              </w:tabs>
              <w:jc w:val="both"/>
              <w:rPr>
                <w:rFonts w:asciiTheme="majorBidi" w:hAnsiTheme="majorBidi" w:cstheme="majorBidi"/>
                <w:b w:val="0"/>
                <w:bCs w:val="0"/>
                <w:color w:val="auto"/>
              </w:rPr>
            </w:pPr>
            <w:r w:rsidRPr="00EE1D63">
              <w:rPr>
                <w:rFonts w:asciiTheme="majorBidi" w:hAnsiTheme="majorBidi" w:cstheme="majorBidi"/>
                <w:b w:val="0"/>
                <w:bCs w:val="0"/>
                <w:color w:val="auto"/>
              </w:rPr>
              <w:t>LNRCPI</w:t>
            </w:r>
          </w:p>
          <w:p w:rsidR="00EE1D63" w:rsidRPr="00EE1D63" w:rsidRDefault="00EE1D63" w:rsidP="008F303E">
            <w:pPr>
              <w:tabs>
                <w:tab w:val="left" w:pos="1500"/>
              </w:tabs>
              <w:jc w:val="both"/>
              <w:rPr>
                <w:rFonts w:asciiTheme="majorBidi" w:hAnsiTheme="majorBidi" w:cstheme="majorBidi"/>
                <w:b w:val="0"/>
                <w:bCs w:val="0"/>
                <w:color w:val="auto"/>
              </w:rPr>
            </w:pPr>
            <w:r w:rsidRPr="00EE1D63">
              <w:rPr>
                <w:rFonts w:asciiTheme="majorBidi" w:hAnsiTheme="majorBidi" w:cstheme="majorBidi"/>
                <w:b w:val="0"/>
                <w:bCs w:val="0"/>
                <w:color w:val="auto"/>
              </w:rPr>
              <w:t>∆LNRCPI</w:t>
            </w:r>
          </w:p>
          <w:p w:rsidR="00EE1D63" w:rsidRPr="00EE1D63" w:rsidRDefault="00EE1D63" w:rsidP="008F303E">
            <w:pPr>
              <w:tabs>
                <w:tab w:val="left" w:pos="1500"/>
              </w:tabs>
              <w:jc w:val="both"/>
              <w:rPr>
                <w:rFonts w:asciiTheme="majorBidi" w:hAnsiTheme="majorBidi" w:cstheme="majorBidi"/>
                <w:b w:val="0"/>
                <w:bCs w:val="0"/>
                <w:color w:val="auto"/>
              </w:rPr>
            </w:pPr>
            <w:r w:rsidRPr="00EE1D63">
              <w:rPr>
                <w:rFonts w:asciiTheme="majorBidi" w:hAnsiTheme="majorBidi" w:cstheme="majorBidi"/>
                <w:b w:val="0"/>
                <w:bCs w:val="0"/>
                <w:color w:val="auto"/>
              </w:rPr>
              <w:t>LNTOT</w:t>
            </w:r>
          </w:p>
          <w:p w:rsidR="00EE1D63" w:rsidRPr="00EE1D63" w:rsidRDefault="00EE1D63" w:rsidP="008F303E">
            <w:pPr>
              <w:tabs>
                <w:tab w:val="left" w:pos="1500"/>
              </w:tabs>
              <w:jc w:val="both"/>
              <w:rPr>
                <w:rFonts w:asciiTheme="majorBidi" w:hAnsiTheme="majorBidi" w:cstheme="majorBidi"/>
                <w:b w:val="0"/>
                <w:bCs w:val="0"/>
                <w:color w:val="auto"/>
              </w:rPr>
            </w:pPr>
            <w:r w:rsidRPr="00EE1D63">
              <w:rPr>
                <w:rFonts w:asciiTheme="majorBidi" w:hAnsiTheme="majorBidi" w:cstheme="majorBidi"/>
                <w:b w:val="0"/>
                <w:bCs w:val="0"/>
                <w:color w:val="auto"/>
              </w:rPr>
              <w:t>∆LNTOT</w:t>
            </w:r>
          </w:p>
          <w:p w:rsidR="00EE1D63" w:rsidRPr="00EE1D63" w:rsidRDefault="00EE1D63" w:rsidP="008F303E">
            <w:pPr>
              <w:tabs>
                <w:tab w:val="left" w:pos="1500"/>
              </w:tabs>
              <w:jc w:val="both"/>
              <w:rPr>
                <w:rFonts w:asciiTheme="majorBidi" w:hAnsiTheme="majorBidi" w:cstheme="majorBidi"/>
                <w:b w:val="0"/>
                <w:bCs w:val="0"/>
                <w:color w:val="auto"/>
              </w:rPr>
            </w:pPr>
            <w:r w:rsidRPr="00EE1D63">
              <w:rPr>
                <w:rFonts w:asciiTheme="majorBidi" w:hAnsiTheme="majorBidi" w:cstheme="majorBidi"/>
                <w:b w:val="0"/>
                <w:bCs w:val="0"/>
                <w:color w:val="auto"/>
              </w:rPr>
              <w:t>WGDPG</w:t>
            </w:r>
          </w:p>
        </w:tc>
        <w:tc>
          <w:tcPr>
            <w:tcW w:w="3192" w:type="dxa"/>
            <w:shd w:val="clear" w:color="auto" w:fill="FFFFFF" w:themeFill="background1"/>
          </w:tcPr>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-1.3981</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-5.3513***</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-1.3237</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-3.8553***</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-1.4194</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-4.6018***</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-1.2494</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-5.3724***</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-0.5931</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-4.6322***</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-1.5796</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-4.8719***</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-3.9680***</w:t>
            </w:r>
          </w:p>
        </w:tc>
        <w:tc>
          <w:tcPr>
            <w:tcW w:w="3192" w:type="dxa"/>
            <w:shd w:val="clear" w:color="auto" w:fill="FFFFFF" w:themeFill="background1"/>
          </w:tcPr>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-3.3923</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-17.7961***</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-2.8071</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-14.7275***</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-0.1949</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-15.4296***</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-3.1824</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-17.5645***</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-2.1027</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-13.5318***</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-4.0572</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-17.2126***</w:t>
            </w:r>
          </w:p>
          <w:p w:rsidR="00EE1D63" w:rsidRPr="00EE1D63" w:rsidRDefault="00EE1D63" w:rsidP="008F303E">
            <w:pPr>
              <w:tabs>
                <w:tab w:val="left" w:pos="1500"/>
              </w:tabs>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-15.1916***</w:t>
            </w:r>
          </w:p>
        </w:tc>
      </w:tr>
    </w:tbl>
    <w:p w:rsidR="00EE1D63" w:rsidRPr="00EE1D63" w:rsidRDefault="00EE1D63" w:rsidP="00EE1D63">
      <w:pPr>
        <w:autoSpaceDE w:val="0"/>
        <w:autoSpaceDN w:val="0"/>
        <w:adjustRightInd w:val="0"/>
        <w:spacing w:after="0" w:line="240" w:lineRule="auto"/>
        <w:jc w:val="both"/>
        <w:rPr>
          <w:rFonts w:asciiTheme="majorBidi" w:hAnsiTheme="majorBidi" w:cstheme="majorBidi"/>
          <w:b/>
          <w:bCs/>
          <w:sz w:val="20"/>
          <w:szCs w:val="20"/>
        </w:rPr>
      </w:pPr>
      <w:r w:rsidRPr="00EE1D63">
        <w:rPr>
          <w:rFonts w:asciiTheme="majorBidi" w:hAnsiTheme="majorBidi" w:cstheme="majorBidi"/>
          <w:b/>
          <w:bCs/>
          <w:sz w:val="20"/>
          <w:szCs w:val="20"/>
        </w:rPr>
        <w:t xml:space="preserve">Note: </w:t>
      </w:r>
    </w:p>
    <w:p w:rsidR="00EE1D63" w:rsidRPr="00EE1D63" w:rsidRDefault="00EE1D63" w:rsidP="00EE1D63">
      <w:pPr>
        <w:autoSpaceDE w:val="0"/>
        <w:autoSpaceDN w:val="0"/>
        <w:adjustRightInd w:val="0"/>
        <w:spacing w:after="0" w:line="240" w:lineRule="auto"/>
        <w:jc w:val="both"/>
        <w:rPr>
          <w:rFonts w:asciiTheme="majorBidi" w:hAnsiTheme="majorBidi" w:cstheme="majorBidi"/>
          <w:sz w:val="20"/>
          <w:szCs w:val="20"/>
        </w:rPr>
      </w:pPr>
      <w:r w:rsidRPr="00EE1D63">
        <w:rPr>
          <w:rFonts w:asciiTheme="majorBidi" w:hAnsiTheme="majorBidi" w:cstheme="majorBidi"/>
          <w:sz w:val="20"/>
          <w:szCs w:val="20"/>
        </w:rPr>
        <w:t>(</w:t>
      </w:r>
      <w:proofErr w:type="spellStart"/>
      <w:r w:rsidRPr="00EE1D63">
        <w:rPr>
          <w:rFonts w:asciiTheme="majorBidi" w:hAnsiTheme="majorBidi" w:cstheme="majorBidi"/>
          <w:sz w:val="20"/>
          <w:szCs w:val="20"/>
        </w:rPr>
        <w:t>i</w:t>
      </w:r>
      <w:proofErr w:type="spellEnd"/>
      <w:r w:rsidRPr="00EE1D63">
        <w:rPr>
          <w:rFonts w:asciiTheme="majorBidi" w:hAnsiTheme="majorBidi" w:cstheme="majorBidi"/>
          <w:sz w:val="20"/>
          <w:szCs w:val="20"/>
        </w:rPr>
        <w:t>) The DF-GLS statistic is based on MacKinnon (1996)</w:t>
      </w:r>
    </w:p>
    <w:p w:rsidR="00EE1D63" w:rsidRPr="00EE1D63" w:rsidRDefault="00EE1D63" w:rsidP="00EE1D63">
      <w:pPr>
        <w:autoSpaceDE w:val="0"/>
        <w:autoSpaceDN w:val="0"/>
        <w:adjustRightInd w:val="0"/>
        <w:spacing w:after="0" w:line="240" w:lineRule="auto"/>
        <w:jc w:val="both"/>
        <w:rPr>
          <w:rFonts w:asciiTheme="majorBidi" w:hAnsiTheme="majorBidi" w:cstheme="majorBidi"/>
          <w:sz w:val="20"/>
          <w:szCs w:val="20"/>
        </w:rPr>
      </w:pPr>
      <w:r w:rsidRPr="00EE1D63">
        <w:rPr>
          <w:rFonts w:asciiTheme="majorBidi" w:hAnsiTheme="majorBidi" w:cstheme="majorBidi"/>
          <w:sz w:val="20"/>
          <w:szCs w:val="20"/>
        </w:rPr>
        <w:t>(ii) The Ng-</w:t>
      </w:r>
      <w:proofErr w:type="spellStart"/>
      <w:r w:rsidRPr="00EE1D63">
        <w:rPr>
          <w:rFonts w:asciiTheme="majorBidi" w:hAnsiTheme="majorBidi" w:cstheme="majorBidi"/>
          <w:sz w:val="20"/>
          <w:szCs w:val="20"/>
        </w:rPr>
        <w:t>Perron</w:t>
      </w:r>
      <w:proofErr w:type="spellEnd"/>
      <w:r w:rsidRPr="00EE1D63">
        <w:rPr>
          <w:rFonts w:asciiTheme="majorBidi" w:hAnsiTheme="majorBidi" w:cstheme="majorBidi"/>
          <w:sz w:val="20"/>
          <w:szCs w:val="20"/>
        </w:rPr>
        <w:t xml:space="preserve"> statistic is based on Ng and </w:t>
      </w:r>
      <w:proofErr w:type="spellStart"/>
      <w:r w:rsidRPr="00EE1D63">
        <w:rPr>
          <w:rFonts w:asciiTheme="majorBidi" w:hAnsiTheme="majorBidi" w:cstheme="majorBidi"/>
          <w:sz w:val="20"/>
          <w:szCs w:val="20"/>
        </w:rPr>
        <w:t>Perron</w:t>
      </w:r>
      <w:proofErr w:type="spellEnd"/>
      <w:r w:rsidRPr="00EE1D63">
        <w:rPr>
          <w:rFonts w:asciiTheme="majorBidi" w:hAnsiTheme="majorBidi" w:cstheme="majorBidi"/>
          <w:sz w:val="20"/>
          <w:szCs w:val="20"/>
        </w:rPr>
        <w:t xml:space="preserve"> (2001, Table 1)</w:t>
      </w:r>
    </w:p>
    <w:p w:rsidR="00EE1D63" w:rsidRPr="00EE1D63" w:rsidRDefault="00EE1D63" w:rsidP="00EE1D63">
      <w:pPr>
        <w:tabs>
          <w:tab w:val="left" w:pos="1500"/>
        </w:tabs>
        <w:spacing w:after="0" w:line="240" w:lineRule="auto"/>
        <w:jc w:val="both"/>
        <w:rPr>
          <w:rFonts w:asciiTheme="majorBidi" w:hAnsiTheme="majorBidi" w:cstheme="majorBidi"/>
          <w:sz w:val="20"/>
          <w:szCs w:val="20"/>
        </w:rPr>
      </w:pPr>
      <w:r w:rsidRPr="00EE1D63">
        <w:rPr>
          <w:rFonts w:asciiTheme="majorBidi" w:hAnsiTheme="majorBidi" w:cstheme="majorBidi"/>
          <w:sz w:val="20"/>
          <w:szCs w:val="20"/>
        </w:rPr>
        <w:t>(iii) *** denotes significance at 1%.</w:t>
      </w:r>
    </w:p>
    <w:p w:rsidR="00EE1D63" w:rsidRPr="00EE1D63" w:rsidRDefault="00EE1D63" w:rsidP="00EE1D63">
      <w:pPr>
        <w:tabs>
          <w:tab w:val="left" w:pos="1500"/>
        </w:tabs>
        <w:spacing w:after="0" w:line="240" w:lineRule="auto"/>
        <w:jc w:val="both"/>
        <w:rPr>
          <w:rFonts w:asciiTheme="majorBidi" w:hAnsiTheme="majorBidi" w:cstheme="majorBidi"/>
          <w:sz w:val="20"/>
          <w:szCs w:val="20"/>
        </w:rPr>
      </w:pPr>
      <w:proofErr w:type="gramStart"/>
      <w:r w:rsidRPr="00EE1D63">
        <w:rPr>
          <w:rFonts w:asciiTheme="majorBidi" w:hAnsiTheme="majorBidi" w:cstheme="majorBidi"/>
          <w:sz w:val="20"/>
          <w:szCs w:val="20"/>
        </w:rPr>
        <w:t xml:space="preserve">(iv) </w:t>
      </w:r>
      <w:r w:rsidRPr="00EE1D63">
        <w:rPr>
          <w:rFonts w:asciiTheme="majorBidi" w:hAnsiTheme="majorBidi" w:cstheme="majorBidi"/>
        </w:rPr>
        <w:t>∆</w:t>
      </w:r>
      <w:proofErr w:type="gramEnd"/>
      <w:r w:rsidRPr="00EE1D63">
        <w:rPr>
          <w:rFonts w:asciiTheme="majorBidi" w:hAnsiTheme="majorBidi" w:cstheme="majorBidi"/>
        </w:rPr>
        <w:t xml:space="preserve"> is a first difference operator.</w:t>
      </w:r>
    </w:p>
    <w:p w:rsidR="00EE1D63" w:rsidRPr="00EE1D63" w:rsidRDefault="00EE1D63" w:rsidP="00EE1D63">
      <w:pPr>
        <w:tabs>
          <w:tab w:val="left" w:pos="1500"/>
        </w:tabs>
        <w:autoSpaceDE w:val="0"/>
        <w:autoSpaceDN w:val="0"/>
        <w:adjustRightInd w:val="0"/>
        <w:spacing w:line="480" w:lineRule="auto"/>
        <w:jc w:val="both"/>
        <w:rPr>
          <w:rFonts w:ascii="Times New Roman" w:eastAsia="Times New Roman" w:hAnsi="Times New Roman"/>
          <w:bCs/>
          <w:sz w:val="24"/>
          <w:szCs w:val="24"/>
        </w:rPr>
      </w:pPr>
    </w:p>
    <w:p w:rsidR="00EE1D63" w:rsidRPr="00EE1D63" w:rsidRDefault="00EE1D63" w:rsidP="00EE1D63">
      <w:pPr>
        <w:tabs>
          <w:tab w:val="left" w:pos="1500"/>
        </w:tabs>
        <w:autoSpaceDE w:val="0"/>
        <w:autoSpaceDN w:val="0"/>
        <w:adjustRightInd w:val="0"/>
        <w:spacing w:after="0" w:line="480" w:lineRule="auto"/>
        <w:jc w:val="both"/>
        <w:rPr>
          <w:rFonts w:ascii="Times New Roman" w:eastAsia="Times New Roman" w:hAnsi="Times New Roman"/>
          <w:bCs/>
          <w:sz w:val="24"/>
          <w:szCs w:val="24"/>
        </w:rPr>
      </w:pPr>
      <w:r w:rsidRPr="00EE1D63">
        <w:rPr>
          <w:rFonts w:ascii="Times New Roman" w:eastAsia="Times New Roman" w:hAnsi="Times New Roman"/>
          <w:bCs/>
          <w:sz w:val="24"/>
          <w:szCs w:val="24"/>
        </w:rPr>
        <w:t xml:space="preserve">As the next step, we established the optimal lag of the ARDL model using the AIC. The optimal lag chosen was at most 2. We proceeded to perform the ARDL bounds test on the real exchange rate equation and found that there was evidence of cointegrating relationships between the real exchange rate and its determinants. The calculated </w:t>
      </w:r>
      <w:r w:rsidRPr="00EE1D63">
        <w:rPr>
          <w:rFonts w:ascii="Times New Roman" w:eastAsia="Times New Roman" w:hAnsi="Times New Roman"/>
          <w:bCs/>
          <w:i/>
          <w:iCs/>
          <w:sz w:val="24"/>
          <w:szCs w:val="24"/>
        </w:rPr>
        <w:t>F</w:t>
      </w:r>
      <w:r w:rsidRPr="00EE1D63">
        <w:rPr>
          <w:rFonts w:ascii="Times New Roman" w:eastAsia="Times New Roman" w:hAnsi="Times New Roman"/>
          <w:bCs/>
          <w:sz w:val="24"/>
          <w:szCs w:val="24"/>
        </w:rPr>
        <w:t xml:space="preserve">-statistic (4.53) was found to be greater than the upper bound critical value (4.43) at the 1 per cent level of significance. The result for the cointegration test is presented in Table 2. </w:t>
      </w:r>
    </w:p>
    <w:p w:rsidR="00EE1D63" w:rsidRPr="00EE1D63" w:rsidRDefault="00EE1D63" w:rsidP="00EE1D63">
      <w:pPr>
        <w:tabs>
          <w:tab w:val="left" w:pos="1500"/>
        </w:tabs>
        <w:autoSpaceDE w:val="0"/>
        <w:autoSpaceDN w:val="0"/>
        <w:adjustRightInd w:val="0"/>
        <w:spacing w:after="0" w:line="480" w:lineRule="auto"/>
        <w:jc w:val="both"/>
        <w:rPr>
          <w:rFonts w:ascii="Times New Roman" w:eastAsia="Times New Roman" w:hAnsi="Times New Roman"/>
          <w:bCs/>
          <w:sz w:val="24"/>
          <w:szCs w:val="24"/>
        </w:rPr>
      </w:pPr>
    </w:p>
    <w:p w:rsidR="00EE1D63" w:rsidRPr="00EE1D63" w:rsidRDefault="00EE1D63" w:rsidP="00EE1D63">
      <w:pPr>
        <w:tabs>
          <w:tab w:val="left" w:pos="1500"/>
        </w:tabs>
        <w:autoSpaceDE w:val="0"/>
        <w:autoSpaceDN w:val="0"/>
        <w:adjustRightInd w:val="0"/>
        <w:spacing w:after="0" w:line="480" w:lineRule="auto"/>
        <w:jc w:val="both"/>
        <w:rPr>
          <w:rFonts w:ascii="Times New Roman" w:eastAsia="Times New Roman" w:hAnsi="Times New Roman"/>
          <w:bCs/>
          <w:sz w:val="24"/>
          <w:szCs w:val="24"/>
        </w:rPr>
      </w:pPr>
    </w:p>
    <w:p w:rsidR="00EE1D63" w:rsidRPr="00EE1D63" w:rsidRDefault="00EE1D63" w:rsidP="00EE1D63">
      <w:pPr>
        <w:tabs>
          <w:tab w:val="left" w:pos="1500"/>
        </w:tabs>
        <w:autoSpaceDE w:val="0"/>
        <w:autoSpaceDN w:val="0"/>
        <w:adjustRightInd w:val="0"/>
        <w:spacing w:after="0" w:line="480" w:lineRule="auto"/>
        <w:jc w:val="both"/>
        <w:rPr>
          <w:rFonts w:ascii="Times New Roman" w:eastAsia="Times New Roman" w:hAnsi="Times New Roman"/>
          <w:bCs/>
          <w:sz w:val="24"/>
          <w:szCs w:val="24"/>
        </w:rPr>
      </w:pPr>
    </w:p>
    <w:p w:rsidR="00EE1D63" w:rsidRPr="00EE1D63" w:rsidRDefault="00EE1D63" w:rsidP="00EE1D63">
      <w:pPr>
        <w:tabs>
          <w:tab w:val="left" w:pos="1500"/>
        </w:tabs>
        <w:autoSpaceDE w:val="0"/>
        <w:autoSpaceDN w:val="0"/>
        <w:adjustRightInd w:val="0"/>
        <w:spacing w:after="0" w:line="480" w:lineRule="auto"/>
        <w:jc w:val="both"/>
        <w:rPr>
          <w:rFonts w:ascii="Times New Roman" w:eastAsia="Times New Roman" w:hAnsi="Times New Roman"/>
          <w:bCs/>
          <w:sz w:val="24"/>
          <w:szCs w:val="24"/>
        </w:rPr>
      </w:pPr>
    </w:p>
    <w:p w:rsidR="00EE1D63" w:rsidRPr="00EE1D63" w:rsidRDefault="00EE1D63" w:rsidP="00EE1D63">
      <w:pPr>
        <w:tabs>
          <w:tab w:val="left" w:pos="1500"/>
        </w:tabs>
        <w:autoSpaceDE w:val="0"/>
        <w:autoSpaceDN w:val="0"/>
        <w:adjustRightInd w:val="0"/>
        <w:spacing w:after="0" w:line="480" w:lineRule="auto"/>
        <w:jc w:val="both"/>
        <w:rPr>
          <w:rFonts w:ascii="Times New Roman" w:eastAsia="Times New Roman" w:hAnsi="Times New Roman"/>
          <w:bCs/>
          <w:sz w:val="24"/>
          <w:szCs w:val="24"/>
        </w:rPr>
      </w:pPr>
    </w:p>
    <w:p w:rsidR="00EE1D63" w:rsidRPr="00EE1D63" w:rsidRDefault="00EE1D63" w:rsidP="00EE1D63">
      <w:pPr>
        <w:tabs>
          <w:tab w:val="left" w:pos="1500"/>
        </w:tabs>
        <w:autoSpaceDE w:val="0"/>
        <w:autoSpaceDN w:val="0"/>
        <w:adjustRightInd w:val="0"/>
        <w:spacing w:after="0" w:line="480" w:lineRule="auto"/>
        <w:jc w:val="both"/>
        <w:rPr>
          <w:rFonts w:ascii="Times New Roman" w:eastAsia="Times New Roman" w:hAnsi="Times New Roman"/>
          <w:bCs/>
          <w:sz w:val="24"/>
          <w:szCs w:val="24"/>
        </w:rPr>
      </w:pPr>
    </w:p>
    <w:p w:rsidR="00EE1D63" w:rsidRPr="00EE1D63" w:rsidRDefault="00EE1D63" w:rsidP="00EE1D63">
      <w:pPr>
        <w:tabs>
          <w:tab w:val="left" w:pos="1500"/>
        </w:tabs>
        <w:autoSpaceDE w:val="0"/>
        <w:autoSpaceDN w:val="0"/>
        <w:adjustRightInd w:val="0"/>
        <w:spacing w:after="0" w:line="360" w:lineRule="auto"/>
        <w:jc w:val="both"/>
        <w:rPr>
          <w:rFonts w:ascii="Times New Roman" w:eastAsia="Times New Roman" w:hAnsi="Times New Roman"/>
          <w:bCs/>
          <w:sz w:val="24"/>
          <w:szCs w:val="24"/>
        </w:rPr>
      </w:pPr>
      <w:r w:rsidRPr="00EE1D63">
        <w:rPr>
          <w:rFonts w:ascii="Times New Roman" w:hAnsi="Times New Roman"/>
          <w:b/>
          <w:sz w:val="24"/>
          <w:szCs w:val="24"/>
        </w:rPr>
        <w:lastRenderedPageBreak/>
        <w:t>Table 2:</w:t>
      </w:r>
      <w:r w:rsidRPr="00EE1D63">
        <w:rPr>
          <w:rFonts w:ascii="Times New Roman" w:hAnsi="Times New Roman"/>
          <w:sz w:val="24"/>
          <w:szCs w:val="24"/>
        </w:rPr>
        <w:t xml:space="preserve"> ARDL Bounds Test for Cointegration</w:t>
      </w:r>
    </w:p>
    <w:tbl>
      <w:tblPr>
        <w:tblStyle w:val="LightShading"/>
        <w:tblW w:w="0" w:type="auto"/>
        <w:tblLook w:val="04A0" w:firstRow="1" w:lastRow="0" w:firstColumn="1" w:lastColumn="0" w:noHBand="0" w:noVBand="1"/>
      </w:tblPr>
      <w:tblGrid>
        <w:gridCol w:w="1136"/>
        <w:gridCol w:w="1210"/>
        <w:gridCol w:w="1303"/>
        <w:gridCol w:w="1396"/>
        <w:gridCol w:w="1676"/>
        <w:gridCol w:w="558"/>
        <w:gridCol w:w="838"/>
        <w:gridCol w:w="93"/>
        <w:gridCol w:w="1223"/>
      </w:tblGrid>
      <w:tr w:rsidR="00EE1D63" w:rsidRPr="00EE1D63" w:rsidTr="00EE1D63">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279" w:type="dxa"/>
            <w:gridSpan w:val="6"/>
            <w:shd w:val="clear" w:color="auto" w:fill="auto"/>
          </w:tcPr>
          <w:p w:rsidR="00EE1D63" w:rsidRPr="00EE1D63" w:rsidRDefault="00EE1D63" w:rsidP="008F303E">
            <w:pPr>
              <w:jc w:val="both"/>
              <w:rPr>
                <w:rFonts w:asciiTheme="majorBidi" w:hAnsiTheme="majorBidi" w:cstheme="majorBidi"/>
                <w:color w:val="auto"/>
              </w:rPr>
            </w:pPr>
            <w:r w:rsidRPr="00EE1D63">
              <w:rPr>
                <w:rFonts w:asciiTheme="majorBidi" w:hAnsiTheme="majorBidi" w:cstheme="majorBidi"/>
                <w:color w:val="auto"/>
              </w:rPr>
              <w:t>Function</w:t>
            </w:r>
          </w:p>
        </w:tc>
        <w:tc>
          <w:tcPr>
            <w:tcW w:w="931" w:type="dxa"/>
            <w:gridSpan w:val="2"/>
            <w:shd w:val="clear" w:color="auto" w:fill="auto"/>
          </w:tcPr>
          <w:p w:rsidR="00EE1D63" w:rsidRPr="00EE1D63" w:rsidRDefault="00EE1D63" w:rsidP="008F303E">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k</w:t>
            </w:r>
          </w:p>
        </w:tc>
        <w:tc>
          <w:tcPr>
            <w:tcW w:w="1223" w:type="dxa"/>
            <w:shd w:val="clear" w:color="auto" w:fill="auto"/>
          </w:tcPr>
          <w:p w:rsidR="00EE1D63" w:rsidRPr="00EE1D63" w:rsidRDefault="00EE1D63" w:rsidP="008F303E">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F-statistic</w:t>
            </w:r>
          </w:p>
        </w:tc>
      </w:tr>
      <w:tr w:rsidR="00EE1D63" w:rsidRPr="00EE1D63" w:rsidTr="00EE1D63">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7279" w:type="dxa"/>
            <w:gridSpan w:val="6"/>
            <w:tcBorders>
              <w:bottom w:val="single" w:sz="4" w:space="0" w:color="auto"/>
            </w:tcBorders>
            <w:shd w:val="clear" w:color="auto" w:fill="auto"/>
          </w:tcPr>
          <w:p w:rsidR="00EE1D63" w:rsidRPr="00EE1D63" w:rsidRDefault="00EE1D63" w:rsidP="008F303E">
            <w:pPr>
              <w:jc w:val="both"/>
              <w:rPr>
                <w:rFonts w:asciiTheme="majorBidi" w:hAnsiTheme="majorBidi" w:cstheme="majorBidi"/>
                <w:b w:val="0"/>
                <w:bCs w:val="0"/>
                <w:color w:val="auto"/>
                <w:sz w:val="20"/>
                <w:szCs w:val="20"/>
              </w:rPr>
            </w:pPr>
            <w:r w:rsidRPr="00EE1D63">
              <w:rPr>
                <w:rFonts w:asciiTheme="majorBidi" w:hAnsiTheme="majorBidi" w:cstheme="majorBidi"/>
                <w:b w:val="0"/>
                <w:bCs w:val="0"/>
                <w:color w:val="auto"/>
                <w:sz w:val="20"/>
                <w:szCs w:val="20"/>
              </w:rPr>
              <w:t>F</w:t>
            </w:r>
            <w:r w:rsidRPr="00EE1D63">
              <w:rPr>
                <w:rFonts w:asciiTheme="majorBidi" w:hAnsiTheme="majorBidi" w:cstheme="majorBidi"/>
                <w:b w:val="0"/>
                <w:bCs w:val="0"/>
                <w:color w:val="auto"/>
                <w:sz w:val="20"/>
                <w:szCs w:val="20"/>
                <w:vertAlign w:val="subscript"/>
              </w:rPr>
              <w:t>LNREER</w:t>
            </w:r>
            <w:r w:rsidRPr="00EE1D63">
              <w:rPr>
                <w:rFonts w:asciiTheme="majorBidi" w:hAnsiTheme="majorBidi" w:cstheme="majorBidi"/>
                <w:b w:val="0"/>
                <w:bCs w:val="0"/>
                <w:color w:val="auto"/>
                <w:sz w:val="20"/>
                <w:szCs w:val="20"/>
              </w:rPr>
              <w:t>(LNREER | LNTOT,LNOPEN, LNGCR,LNNFAR,LNRCPI,WGDPG)</w:t>
            </w:r>
          </w:p>
          <w:p w:rsidR="00EE1D63" w:rsidRPr="00EE1D63" w:rsidRDefault="00EE1D63" w:rsidP="008F303E">
            <w:pPr>
              <w:jc w:val="both"/>
              <w:rPr>
                <w:rFonts w:asciiTheme="majorBidi" w:hAnsiTheme="majorBidi" w:cstheme="majorBidi"/>
                <w:b w:val="0"/>
                <w:bCs w:val="0"/>
                <w:color w:val="auto"/>
                <w:sz w:val="20"/>
                <w:szCs w:val="20"/>
              </w:rPr>
            </w:pPr>
          </w:p>
          <w:p w:rsidR="00EE1D63" w:rsidRPr="00EE1D63" w:rsidRDefault="00EE1D63" w:rsidP="008F303E">
            <w:pPr>
              <w:jc w:val="both"/>
              <w:rPr>
                <w:rFonts w:asciiTheme="majorBidi" w:hAnsiTheme="majorBidi" w:cstheme="majorBidi"/>
                <w:b w:val="0"/>
                <w:bCs w:val="0"/>
                <w:color w:val="auto"/>
                <w:sz w:val="20"/>
                <w:szCs w:val="20"/>
              </w:rPr>
            </w:pPr>
          </w:p>
          <w:p w:rsidR="00EE1D63" w:rsidRPr="00EE1D63" w:rsidRDefault="00EE1D63" w:rsidP="008F303E">
            <w:pPr>
              <w:jc w:val="both"/>
              <w:rPr>
                <w:rFonts w:asciiTheme="majorBidi" w:hAnsiTheme="majorBidi" w:cstheme="majorBidi"/>
                <w:b w:val="0"/>
                <w:bCs w:val="0"/>
                <w:color w:val="auto"/>
                <w:sz w:val="20"/>
                <w:szCs w:val="20"/>
              </w:rPr>
            </w:pPr>
          </w:p>
          <w:p w:rsidR="00EE1D63" w:rsidRPr="00EE1D63" w:rsidRDefault="00EE1D63" w:rsidP="008F303E">
            <w:pPr>
              <w:rPr>
                <w:rFonts w:asciiTheme="majorBidi" w:hAnsiTheme="majorBidi" w:cstheme="majorBidi"/>
                <w:b w:val="0"/>
                <w:bCs w:val="0"/>
                <w:color w:val="auto"/>
              </w:rPr>
            </w:pPr>
          </w:p>
        </w:tc>
        <w:tc>
          <w:tcPr>
            <w:tcW w:w="931" w:type="dxa"/>
            <w:gridSpan w:val="2"/>
            <w:tcBorders>
              <w:bottom w:val="nil"/>
            </w:tcBorders>
            <w:shd w:val="clear" w:color="auto" w:fill="auto"/>
          </w:tcPr>
          <w:p w:rsidR="00EE1D63" w:rsidRPr="00EE1D63" w:rsidRDefault="00EE1D63" w:rsidP="008F30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EE1D63">
              <w:rPr>
                <w:rFonts w:asciiTheme="majorBidi" w:hAnsiTheme="majorBidi" w:cstheme="majorBidi"/>
                <w:color w:val="auto"/>
                <w:sz w:val="20"/>
                <w:szCs w:val="20"/>
              </w:rPr>
              <w:t>6</w:t>
            </w:r>
          </w:p>
          <w:p w:rsidR="00EE1D63" w:rsidRPr="00EE1D63" w:rsidRDefault="00EE1D63" w:rsidP="008F30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p>
          <w:p w:rsidR="00EE1D63" w:rsidRPr="00EE1D63" w:rsidRDefault="00EE1D63" w:rsidP="008F30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p>
          <w:p w:rsidR="00EE1D63" w:rsidRPr="00EE1D63" w:rsidRDefault="00EE1D63" w:rsidP="008F30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p>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p>
        </w:tc>
        <w:tc>
          <w:tcPr>
            <w:tcW w:w="1223" w:type="dxa"/>
            <w:tcBorders>
              <w:bottom w:val="nil"/>
            </w:tcBorders>
            <w:shd w:val="clear" w:color="auto" w:fill="auto"/>
          </w:tcPr>
          <w:p w:rsidR="00EE1D63" w:rsidRPr="00EE1D63" w:rsidRDefault="00EE1D63" w:rsidP="008F30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EE1D63">
              <w:rPr>
                <w:rFonts w:asciiTheme="majorBidi" w:hAnsiTheme="majorBidi" w:cstheme="majorBidi"/>
                <w:color w:val="auto"/>
                <w:sz w:val="20"/>
                <w:szCs w:val="20"/>
              </w:rPr>
              <w:t>4.531**</w:t>
            </w:r>
          </w:p>
          <w:p w:rsidR="00EE1D63" w:rsidRPr="00EE1D63" w:rsidRDefault="00EE1D63" w:rsidP="008F30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p>
          <w:p w:rsidR="00EE1D63" w:rsidRPr="00EE1D63" w:rsidRDefault="00EE1D63" w:rsidP="008F30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p>
          <w:p w:rsidR="00EE1D63" w:rsidRPr="00EE1D63" w:rsidRDefault="00EE1D63" w:rsidP="008F30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p>
        </w:tc>
      </w:tr>
      <w:tr w:rsidR="00EE1D63" w:rsidRPr="00EE1D63" w:rsidTr="00EE1D63">
        <w:trPr>
          <w:trHeight w:val="130"/>
        </w:trPr>
        <w:tc>
          <w:tcPr>
            <w:cnfStyle w:val="001000000000" w:firstRow="0" w:lastRow="0" w:firstColumn="1" w:lastColumn="0" w:oddVBand="0" w:evenVBand="0" w:oddHBand="0" w:evenHBand="0" w:firstRowFirstColumn="0" w:firstRowLastColumn="0" w:lastRowFirstColumn="0" w:lastRowLastColumn="0"/>
            <w:tcW w:w="9433" w:type="dxa"/>
            <w:gridSpan w:val="9"/>
            <w:tcBorders>
              <w:top w:val="single" w:sz="4" w:space="0" w:color="auto"/>
            </w:tcBorders>
            <w:shd w:val="clear" w:color="auto" w:fill="auto"/>
          </w:tcPr>
          <w:p w:rsidR="00EE1D63" w:rsidRPr="00EE1D63" w:rsidRDefault="00EE1D63" w:rsidP="008F303E">
            <w:pPr>
              <w:jc w:val="both"/>
              <w:rPr>
                <w:rFonts w:asciiTheme="majorBidi" w:hAnsiTheme="majorBidi" w:cstheme="majorBidi"/>
                <w:b w:val="0"/>
                <w:bCs w:val="0"/>
                <w:color w:val="auto"/>
              </w:rPr>
            </w:pPr>
            <w:r w:rsidRPr="00EE1D63">
              <w:rPr>
                <w:rFonts w:asciiTheme="majorBidi" w:hAnsiTheme="majorBidi" w:cstheme="majorBidi"/>
                <w:b w:val="0"/>
                <w:bCs w:val="0"/>
                <w:color w:val="auto"/>
              </w:rPr>
              <w:t>Critical value bounds of the F-statistic</w:t>
            </w:r>
          </w:p>
        </w:tc>
      </w:tr>
      <w:tr w:rsidR="00EE1D63" w:rsidRPr="00EE1D63" w:rsidTr="00EE1D63">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auto"/>
              <w:bottom w:val="single" w:sz="4" w:space="0" w:color="auto"/>
            </w:tcBorders>
            <w:shd w:val="clear" w:color="auto" w:fill="auto"/>
          </w:tcPr>
          <w:p w:rsidR="00EE1D63" w:rsidRPr="00EE1D63" w:rsidRDefault="00EE1D63" w:rsidP="008F303E">
            <w:pPr>
              <w:jc w:val="both"/>
              <w:rPr>
                <w:rFonts w:asciiTheme="majorBidi" w:hAnsiTheme="majorBidi" w:cstheme="majorBidi"/>
                <w:b w:val="0"/>
                <w:bCs w:val="0"/>
                <w:color w:val="auto"/>
              </w:rPr>
            </w:pPr>
            <w:r w:rsidRPr="00EE1D63">
              <w:rPr>
                <w:rFonts w:asciiTheme="majorBidi" w:hAnsiTheme="majorBidi" w:cstheme="majorBidi"/>
                <w:b w:val="0"/>
                <w:bCs w:val="0"/>
                <w:color w:val="auto"/>
              </w:rPr>
              <w:t xml:space="preserve">           </w:t>
            </w:r>
          </w:p>
        </w:tc>
        <w:tc>
          <w:tcPr>
            <w:tcW w:w="2513" w:type="dxa"/>
            <w:gridSpan w:val="2"/>
            <w:tcBorders>
              <w:top w:val="single" w:sz="4" w:space="0" w:color="auto"/>
              <w:bottom w:val="single" w:sz="4" w:space="0" w:color="auto"/>
            </w:tcBorders>
            <w:shd w:val="clear" w:color="auto" w:fill="auto"/>
          </w:tcPr>
          <w:p w:rsidR="00EE1D63" w:rsidRPr="00EE1D63" w:rsidRDefault="00EE1D63" w:rsidP="008F30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90% level</w:t>
            </w:r>
          </w:p>
        </w:tc>
        <w:tc>
          <w:tcPr>
            <w:tcW w:w="3072" w:type="dxa"/>
            <w:gridSpan w:val="2"/>
            <w:tcBorders>
              <w:bottom w:val="single" w:sz="4" w:space="0" w:color="auto"/>
            </w:tcBorders>
            <w:shd w:val="clear" w:color="auto" w:fill="auto"/>
          </w:tcPr>
          <w:p w:rsidR="00EE1D63" w:rsidRPr="00EE1D63" w:rsidRDefault="00EE1D63" w:rsidP="008F30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95% level</w:t>
            </w:r>
          </w:p>
        </w:tc>
        <w:tc>
          <w:tcPr>
            <w:tcW w:w="2712" w:type="dxa"/>
            <w:gridSpan w:val="4"/>
            <w:tcBorders>
              <w:bottom w:val="single" w:sz="4" w:space="0" w:color="auto"/>
            </w:tcBorders>
            <w:shd w:val="clear" w:color="auto" w:fill="auto"/>
          </w:tcPr>
          <w:p w:rsidR="00EE1D63" w:rsidRPr="00EE1D63" w:rsidRDefault="00EE1D63" w:rsidP="008F30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99% level</w:t>
            </w:r>
          </w:p>
        </w:tc>
      </w:tr>
      <w:tr w:rsidR="00EE1D63" w:rsidRPr="00EE1D63" w:rsidTr="00EE1D63">
        <w:trPr>
          <w:trHeight w:val="700"/>
        </w:trPr>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auto"/>
            </w:tcBorders>
            <w:shd w:val="clear" w:color="auto" w:fill="auto"/>
          </w:tcPr>
          <w:p w:rsidR="00EE1D63" w:rsidRPr="00EE1D63" w:rsidRDefault="00EE1D63" w:rsidP="008F303E">
            <w:pPr>
              <w:jc w:val="both"/>
              <w:rPr>
                <w:rFonts w:asciiTheme="majorBidi" w:hAnsiTheme="majorBidi" w:cstheme="majorBidi"/>
                <w:b w:val="0"/>
                <w:bCs w:val="0"/>
                <w:color w:val="auto"/>
              </w:rPr>
            </w:pPr>
            <w:r w:rsidRPr="00EE1D63">
              <w:rPr>
                <w:rFonts w:asciiTheme="majorBidi" w:hAnsiTheme="majorBidi" w:cstheme="majorBidi"/>
                <w:b w:val="0"/>
                <w:bCs w:val="0"/>
                <w:color w:val="auto"/>
              </w:rPr>
              <w:t>k</w:t>
            </w:r>
          </w:p>
          <w:p w:rsidR="00EE1D63" w:rsidRPr="00EE1D63" w:rsidRDefault="00EE1D63" w:rsidP="008F303E">
            <w:pPr>
              <w:jc w:val="both"/>
              <w:rPr>
                <w:rFonts w:asciiTheme="majorBidi" w:hAnsiTheme="majorBidi" w:cstheme="majorBidi"/>
                <w:b w:val="0"/>
                <w:bCs w:val="0"/>
                <w:color w:val="auto"/>
              </w:rPr>
            </w:pPr>
            <w:r w:rsidRPr="00EE1D63">
              <w:rPr>
                <w:rFonts w:asciiTheme="majorBidi" w:hAnsiTheme="majorBidi" w:cstheme="majorBidi"/>
                <w:b w:val="0"/>
                <w:bCs w:val="0"/>
                <w:color w:val="auto"/>
              </w:rPr>
              <w:t>6</w:t>
            </w:r>
          </w:p>
        </w:tc>
        <w:tc>
          <w:tcPr>
            <w:tcW w:w="1210" w:type="dxa"/>
            <w:tcBorders>
              <w:top w:val="single" w:sz="4" w:space="0" w:color="auto"/>
            </w:tcBorders>
            <w:shd w:val="clear" w:color="auto" w:fill="auto"/>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I(0)</w:t>
            </w:r>
          </w:p>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2.12</w:t>
            </w:r>
          </w:p>
        </w:tc>
        <w:tc>
          <w:tcPr>
            <w:tcW w:w="1303" w:type="dxa"/>
            <w:tcBorders>
              <w:top w:val="single" w:sz="4" w:space="0" w:color="auto"/>
            </w:tcBorders>
            <w:shd w:val="clear" w:color="auto" w:fill="auto"/>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I(1)</w:t>
            </w:r>
          </w:p>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3.23</w:t>
            </w:r>
          </w:p>
        </w:tc>
        <w:tc>
          <w:tcPr>
            <w:tcW w:w="1396" w:type="dxa"/>
            <w:tcBorders>
              <w:top w:val="single" w:sz="4" w:space="0" w:color="auto"/>
            </w:tcBorders>
            <w:shd w:val="clear" w:color="auto" w:fill="auto"/>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I(0)</w:t>
            </w:r>
          </w:p>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2.45</w:t>
            </w:r>
          </w:p>
        </w:tc>
        <w:tc>
          <w:tcPr>
            <w:tcW w:w="1676" w:type="dxa"/>
            <w:tcBorders>
              <w:top w:val="single" w:sz="4" w:space="0" w:color="auto"/>
            </w:tcBorders>
            <w:shd w:val="clear" w:color="auto" w:fill="auto"/>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I(1)</w:t>
            </w:r>
          </w:p>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3.61</w:t>
            </w:r>
          </w:p>
        </w:tc>
        <w:tc>
          <w:tcPr>
            <w:tcW w:w="1396" w:type="dxa"/>
            <w:gridSpan w:val="2"/>
            <w:tcBorders>
              <w:top w:val="single" w:sz="4" w:space="0" w:color="auto"/>
            </w:tcBorders>
            <w:shd w:val="clear" w:color="auto" w:fill="auto"/>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I(0)</w:t>
            </w:r>
          </w:p>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3.15</w:t>
            </w:r>
          </w:p>
        </w:tc>
        <w:tc>
          <w:tcPr>
            <w:tcW w:w="1316" w:type="dxa"/>
            <w:gridSpan w:val="2"/>
            <w:tcBorders>
              <w:top w:val="single" w:sz="4" w:space="0" w:color="auto"/>
            </w:tcBorders>
            <w:shd w:val="clear" w:color="auto" w:fill="auto"/>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I(1)</w:t>
            </w:r>
          </w:p>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EE1D63">
              <w:rPr>
                <w:rFonts w:asciiTheme="majorBidi" w:hAnsiTheme="majorBidi" w:cstheme="majorBidi"/>
                <w:color w:val="auto"/>
              </w:rPr>
              <w:t>4.43</w:t>
            </w:r>
          </w:p>
        </w:tc>
      </w:tr>
    </w:tbl>
    <w:p w:rsidR="00EE1D63" w:rsidRPr="00EE1D63" w:rsidRDefault="00EE1D63" w:rsidP="00EE1D63">
      <w:pPr>
        <w:spacing w:after="0" w:line="240" w:lineRule="auto"/>
        <w:jc w:val="both"/>
        <w:rPr>
          <w:rFonts w:ascii="Times New Roman" w:hAnsi="Times New Roman"/>
          <w:b/>
          <w:sz w:val="20"/>
          <w:szCs w:val="20"/>
        </w:rPr>
      </w:pPr>
      <w:r w:rsidRPr="00EE1D63">
        <w:rPr>
          <w:rFonts w:ascii="Times New Roman" w:hAnsi="Times New Roman"/>
          <w:b/>
          <w:sz w:val="20"/>
          <w:szCs w:val="20"/>
        </w:rPr>
        <w:t xml:space="preserve">Notes: </w:t>
      </w:r>
      <w:r w:rsidRPr="00EE1D63">
        <w:rPr>
          <w:rFonts w:ascii="Times New Roman" w:hAnsi="Times New Roman"/>
          <w:bCs/>
          <w:sz w:val="20"/>
          <w:szCs w:val="20"/>
        </w:rPr>
        <w:t xml:space="preserve">*, **, and *** denote, respectively, 10%, 5% and 1%. </w:t>
      </w:r>
      <w:proofErr w:type="gramStart"/>
      <w:r w:rsidRPr="00EE1D63">
        <w:rPr>
          <w:rFonts w:ascii="Times New Roman" w:hAnsi="Times New Roman"/>
          <w:bCs/>
          <w:sz w:val="20"/>
          <w:szCs w:val="20"/>
        </w:rPr>
        <w:t>k</w:t>
      </w:r>
      <w:proofErr w:type="gramEnd"/>
      <w:r w:rsidRPr="00EE1D63">
        <w:rPr>
          <w:rFonts w:ascii="Times New Roman" w:hAnsi="Times New Roman"/>
          <w:bCs/>
          <w:sz w:val="20"/>
          <w:szCs w:val="20"/>
        </w:rPr>
        <w:t xml:space="preserve"> denotes the number of regressors.</w:t>
      </w:r>
      <w:r w:rsidRPr="00EE1D63">
        <w:rPr>
          <w:rFonts w:ascii="Times New Roman" w:hAnsi="Times New Roman"/>
          <w:b/>
          <w:sz w:val="20"/>
          <w:szCs w:val="20"/>
        </w:rPr>
        <w:t xml:space="preserve"> </w:t>
      </w:r>
      <w:r w:rsidRPr="00EE1D63">
        <w:rPr>
          <w:rFonts w:ascii="Times New Roman" w:hAnsi="Times New Roman"/>
          <w:bCs/>
          <w:sz w:val="20"/>
          <w:szCs w:val="20"/>
        </w:rPr>
        <w:t xml:space="preserve">The critical value bounds correspond to the asymptotic critical values for unrestricted intercept and no trend in Table </w:t>
      </w:r>
      <w:proofErr w:type="gramStart"/>
      <w:r w:rsidRPr="00EE1D63">
        <w:rPr>
          <w:rFonts w:ascii="Times New Roman" w:hAnsi="Times New Roman"/>
          <w:bCs/>
          <w:sz w:val="20"/>
          <w:szCs w:val="20"/>
        </w:rPr>
        <w:t>CI(</w:t>
      </w:r>
      <w:proofErr w:type="gramEnd"/>
      <w:r w:rsidRPr="00EE1D63">
        <w:rPr>
          <w:rFonts w:ascii="Times New Roman" w:hAnsi="Times New Roman"/>
          <w:bCs/>
          <w:sz w:val="20"/>
          <w:szCs w:val="20"/>
        </w:rPr>
        <w:t xml:space="preserve">iii) p. 300 of </w:t>
      </w:r>
      <w:proofErr w:type="spellStart"/>
      <w:r w:rsidRPr="00EE1D63">
        <w:rPr>
          <w:rFonts w:ascii="Times New Roman" w:hAnsi="Times New Roman"/>
          <w:bCs/>
          <w:sz w:val="20"/>
          <w:szCs w:val="20"/>
        </w:rPr>
        <w:t>Pesaran</w:t>
      </w:r>
      <w:proofErr w:type="spellEnd"/>
      <w:r w:rsidRPr="00EE1D63">
        <w:rPr>
          <w:rFonts w:ascii="Times New Roman" w:hAnsi="Times New Roman"/>
          <w:bCs/>
          <w:sz w:val="20"/>
          <w:szCs w:val="20"/>
        </w:rPr>
        <w:t xml:space="preserve"> </w:t>
      </w:r>
      <w:r w:rsidRPr="00EE1D63">
        <w:rPr>
          <w:rFonts w:ascii="Times New Roman" w:hAnsi="Times New Roman"/>
          <w:bCs/>
          <w:i/>
          <w:iCs/>
          <w:sz w:val="20"/>
          <w:szCs w:val="20"/>
        </w:rPr>
        <w:t>et al.</w:t>
      </w:r>
      <w:r w:rsidRPr="00EE1D63">
        <w:rPr>
          <w:rFonts w:ascii="Times New Roman" w:hAnsi="Times New Roman"/>
          <w:bCs/>
          <w:sz w:val="20"/>
          <w:szCs w:val="20"/>
        </w:rPr>
        <w:t xml:space="preserve"> (2001)</w:t>
      </w:r>
    </w:p>
    <w:p w:rsidR="00EE1D63" w:rsidRPr="00EE1D63" w:rsidRDefault="00EE1D63" w:rsidP="00EE1D63">
      <w:pPr>
        <w:tabs>
          <w:tab w:val="left" w:pos="1500"/>
        </w:tabs>
        <w:autoSpaceDE w:val="0"/>
        <w:autoSpaceDN w:val="0"/>
        <w:adjustRightInd w:val="0"/>
        <w:spacing w:line="480" w:lineRule="auto"/>
        <w:jc w:val="both"/>
        <w:rPr>
          <w:rFonts w:ascii="Times New Roman" w:eastAsia="Times New Roman" w:hAnsi="Times New Roman"/>
          <w:bCs/>
          <w:sz w:val="24"/>
          <w:szCs w:val="24"/>
        </w:rPr>
      </w:pPr>
    </w:p>
    <w:p w:rsidR="00EE1D63" w:rsidRPr="00EE1D63" w:rsidRDefault="00EE1D63" w:rsidP="00EE1D63">
      <w:pPr>
        <w:tabs>
          <w:tab w:val="left" w:pos="1500"/>
        </w:tabs>
        <w:autoSpaceDE w:val="0"/>
        <w:autoSpaceDN w:val="0"/>
        <w:adjustRightInd w:val="0"/>
        <w:spacing w:line="480" w:lineRule="auto"/>
        <w:jc w:val="both"/>
        <w:rPr>
          <w:rFonts w:ascii="Times New Roman" w:eastAsia="Times New Roman" w:hAnsi="Times New Roman"/>
          <w:bCs/>
          <w:sz w:val="24"/>
          <w:szCs w:val="24"/>
        </w:rPr>
      </w:pPr>
      <w:r w:rsidRPr="00EE1D63">
        <w:rPr>
          <w:rFonts w:ascii="Times New Roman" w:eastAsia="Times New Roman" w:hAnsi="Times New Roman"/>
          <w:bCs/>
          <w:sz w:val="24"/>
          <w:szCs w:val="24"/>
        </w:rPr>
        <w:t>Having established that the variables are cointegrated, we proceeded to estimate the equilibrium real exchange rate in two stages. In the first stage, we estimated the general short- and long-run models. These results are presented in Table 3. At this stage, the only significant variables in the short and long run are the terms of trade and trade openness. In the second stage, we sequentially deleted those variables, which were not statistically significant in the long run, until we arrived at the parsimonious short- and long-run models. This approach is in line with the existing literature (see MacDonald and Ricci, 2003, for example). We re-tested for cointegration in the remaining variables to avoid any incorrect specification of the parsimonious models. The remaining variables are cointegrated at the conventional level of significance.</w:t>
      </w:r>
      <w:r w:rsidRPr="00EE1D63">
        <w:rPr>
          <w:rStyle w:val="FootnoteReference"/>
          <w:bCs/>
          <w:sz w:val="24"/>
          <w:szCs w:val="24"/>
        </w:rPr>
        <w:footnoteReference w:id="10"/>
      </w:r>
      <w:r w:rsidRPr="00EE1D63">
        <w:rPr>
          <w:rFonts w:ascii="Times New Roman" w:eastAsia="Times New Roman" w:hAnsi="Times New Roman"/>
          <w:bCs/>
          <w:sz w:val="24"/>
          <w:szCs w:val="24"/>
        </w:rPr>
        <w:t xml:space="preserve"> </w:t>
      </w:r>
    </w:p>
    <w:p w:rsidR="00EE1D63" w:rsidRPr="00EE1D63" w:rsidRDefault="00EE1D63" w:rsidP="00EE1D63">
      <w:pPr>
        <w:tabs>
          <w:tab w:val="left" w:pos="1500"/>
        </w:tabs>
        <w:autoSpaceDE w:val="0"/>
        <w:autoSpaceDN w:val="0"/>
        <w:adjustRightInd w:val="0"/>
        <w:spacing w:line="480" w:lineRule="auto"/>
        <w:jc w:val="both"/>
        <w:rPr>
          <w:rFonts w:ascii="Times New Roman" w:eastAsia="Times New Roman" w:hAnsi="Times New Roman"/>
          <w:bCs/>
          <w:sz w:val="24"/>
          <w:szCs w:val="24"/>
        </w:rPr>
      </w:pPr>
    </w:p>
    <w:p w:rsidR="00EE1D63" w:rsidRPr="00EE1D63" w:rsidRDefault="00EE1D63" w:rsidP="00EE1D63">
      <w:pPr>
        <w:tabs>
          <w:tab w:val="left" w:pos="1500"/>
        </w:tabs>
        <w:autoSpaceDE w:val="0"/>
        <w:autoSpaceDN w:val="0"/>
        <w:adjustRightInd w:val="0"/>
        <w:spacing w:line="480" w:lineRule="auto"/>
        <w:jc w:val="both"/>
        <w:rPr>
          <w:rFonts w:ascii="Times New Roman" w:eastAsia="Times New Roman" w:hAnsi="Times New Roman"/>
          <w:bCs/>
          <w:sz w:val="24"/>
          <w:szCs w:val="24"/>
        </w:rPr>
      </w:pPr>
    </w:p>
    <w:p w:rsidR="00EE1D63" w:rsidRPr="00EE1D63" w:rsidRDefault="00EE1D63" w:rsidP="00EE1D63">
      <w:pPr>
        <w:tabs>
          <w:tab w:val="left" w:pos="1500"/>
        </w:tabs>
        <w:autoSpaceDE w:val="0"/>
        <w:autoSpaceDN w:val="0"/>
        <w:adjustRightInd w:val="0"/>
        <w:spacing w:line="480" w:lineRule="auto"/>
        <w:jc w:val="both"/>
        <w:rPr>
          <w:rFonts w:ascii="Times New Roman" w:eastAsia="Times New Roman" w:hAnsi="Times New Roman"/>
          <w:bCs/>
          <w:sz w:val="24"/>
          <w:szCs w:val="24"/>
        </w:rPr>
      </w:pPr>
    </w:p>
    <w:p w:rsidR="00EE1D63" w:rsidRPr="00EE1D63" w:rsidRDefault="00EE1D63" w:rsidP="00EE1D63">
      <w:pPr>
        <w:autoSpaceDE w:val="0"/>
        <w:autoSpaceDN w:val="0"/>
        <w:adjustRightInd w:val="0"/>
        <w:spacing w:after="0" w:line="240" w:lineRule="auto"/>
        <w:rPr>
          <w:rFonts w:asciiTheme="majorBidi" w:hAnsiTheme="majorBidi" w:cstheme="majorBidi"/>
          <w:b/>
          <w:bCs/>
          <w:sz w:val="24"/>
          <w:szCs w:val="24"/>
        </w:rPr>
      </w:pPr>
      <w:r w:rsidRPr="00EE1D63">
        <w:rPr>
          <w:rFonts w:asciiTheme="majorBidi" w:hAnsiTheme="majorBidi" w:cstheme="majorBidi"/>
          <w:b/>
          <w:bCs/>
          <w:sz w:val="24"/>
          <w:szCs w:val="24"/>
        </w:rPr>
        <w:lastRenderedPageBreak/>
        <w:t xml:space="preserve">Table 3: The General Results </w:t>
      </w:r>
    </w:p>
    <w:p w:rsidR="00EE1D63" w:rsidRPr="00EE1D63" w:rsidRDefault="00EE1D63" w:rsidP="00EE1D63">
      <w:pPr>
        <w:autoSpaceDE w:val="0"/>
        <w:autoSpaceDN w:val="0"/>
        <w:adjustRightInd w:val="0"/>
        <w:spacing w:after="0" w:line="240" w:lineRule="auto"/>
        <w:jc w:val="center"/>
        <w:rPr>
          <w:rFonts w:asciiTheme="majorBidi" w:hAnsiTheme="majorBidi" w:cstheme="majorBidi"/>
          <w:b/>
          <w:bCs/>
          <w:sz w:val="24"/>
          <w:szCs w:val="24"/>
        </w:rPr>
      </w:pPr>
    </w:p>
    <w:tbl>
      <w:tblPr>
        <w:tblStyle w:val="LightShading"/>
        <w:tblW w:w="9446" w:type="dxa"/>
        <w:tblLook w:val="04A0" w:firstRow="1" w:lastRow="0" w:firstColumn="1" w:lastColumn="0" w:noHBand="0" w:noVBand="1"/>
      </w:tblPr>
      <w:tblGrid>
        <w:gridCol w:w="3152"/>
        <w:gridCol w:w="1348"/>
        <w:gridCol w:w="2946"/>
        <w:gridCol w:w="2000"/>
      </w:tblGrid>
      <w:tr w:rsidR="00EE1D63" w:rsidRPr="00EE1D63" w:rsidTr="00EE1D63">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52" w:type="dxa"/>
            <w:shd w:val="clear" w:color="auto" w:fill="auto"/>
            <w:noWrap/>
            <w:hideMark/>
          </w:tcPr>
          <w:p w:rsidR="00EE1D63" w:rsidRPr="00EE1D63" w:rsidRDefault="00EE1D63" w:rsidP="008F303E">
            <w:pPr>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Regressors</w:t>
            </w:r>
          </w:p>
        </w:tc>
        <w:tc>
          <w:tcPr>
            <w:tcW w:w="1348" w:type="dxa"/>
            <w:shd w:val="clear" w:color="auto" w:fill="auto"/>
            <w:noWrap/>
            <w:hideMark/>
          </w:tcPr>
          <w:p w:rsidR="00EE1D63" w:rsidRPr="00EE1D63" w:rsidRDefault="00EE1D63" w:rsidP="008F303E">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Coefficient</w:t>
            </w:r>
          </w:p>
        </w:tc>
        <w:tc>
          <w:tcPr>
            <w:tcW w:w="2946" w:type="dxa"/>
            <w:shd w:val="clear" w:color="auto" w:fill="auto"/>
            <w:noWrap/>
            <w:hideMark/>
          </w:tcPr>
          <w:p w:rsidR="00EE1D63" w:rsidRPr="00EE1D63" w:rsidRDefault="00EE1D63" w:rsidP="008F303E">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Standard Errors</w:t>
            </w:r>
          </w:p>
        </w:tc>
        <w:tc>
          <w:tcPr>
            <w:tcW w:w="2000" w:type="dxa"/>
            <w:shd w:val="clear" w:color="auto" w:fill="auto"/>
            <w:noWrap/>
            <w:hideMark/>
          </w:tcPr>
          <w:p w:rsidR="00EE1D63" w:rsidRPr="00EE1D63" w:rsidRDefault="00EE1D63" w:rsidP="008F303E">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t-statistic</w:t>
            </w:r>
          </w:p>
        </w:tc>
      </w:tr>
      <w:tr w:rsidR="00EE1D63" w:rsidRPr="00EE1D63" w:rsidTr="00EE1D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446" w:type="dxa"/>
            <w:gridSpan w:val="4"/>
            <w:shd w:val="clear" w:color="auto" w:fill="auto"/>
            <w:noWrap/>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eastAsia="Times New Roman" w:hAnsiTheme="majorBidi" w:cstheme="majorBidi"/>
                <w:b w:val="0"/>
                <w:bCs w:val="0"/>
                <w:color w:val="auto"/>
                <w:sz w:val="20"/>
                <w:szCs w:val="20"/>
              </w:rPr>
              <w:t>Long-run Estimates, dependent variable is LNREER</w:t>
            </w:r>
          </w:p>
        </w:tc>
      </w:tr>
      <w:tr w:rsidR="00EE1D63" w:rsidRPr="00EE1D63" w:rsidTr="00EE1D63">
        <w:trPr>
          <w:trHeight w:val="264"/>
        </w:trPr>
        <w:tc>
          <w:tcPr>
            <w:cnfStyle w:val="001000000000" w:firstRow="0" w:lastRow="0" w:firstColumn="1" w:lastColumn="0" w:oddVBand="0" w:evenVBand="0" w:oddHBand="0" w:evenHBand="0" w:firstRowFirstColumn="0" w:firstRowLastColumn="0" w:lastRowFirstColumn="0" w:lastRowLastColumn="0"/>
            <w:tcW w:w="3152" w:type="dxa"/>
            <w:tcBorders>
              <w:top w:val="single" w:sz="4" w:space="0" w:color="auto"/>
            </w:tcBorders>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eastAsia="Times New Roman" w:hAnsiTheme="majorBidi" w:cstheme="majorBidi"/>
                <w:b w:val="0"/>
                <w:bCs w:val="0"/>
                <w:color w:val="auto"/>
                <w:sz w:val="20"/>
                <w:szCs w:val="20"/>
              </w:rPr>
              <w:t>LNTOT</w:t>
            </w:r>
          </w:p>
        </w:tc>
        <w:tc>
          <w:tcPr>
            <w:tcW w:w="1348" w:type="dxa"/>
            <w:tcBorders>
              <w:top w:val="single" w:sz="4" w:space="0" w:color="auto"/>
            </w:tcBorders>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-0.183**</w:t>
            </w:r>
          </w:p>
        </w:tc>
        <w:tc>
          <w:tcPr>
            <w:tcW w:w="2946"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0.059</w:t>
            </w:r>
          </w:p>
        </w:tc>
        <w:tc>
          <w:tcPr>
            <w:tcW w:w="2000"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-3.102</w:t>
            </w:r>
          </w:p>
        </w:tc>
      </w:tr>
      <w:tr w:rsidR="00EE1D63" w:rsidRPr="00EE1D63" w:rsidTr="00EE1D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52" w:type="dxa"/>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eastAsia="Times New Roman" w:hAnsiTheme="majorBidi" w:cstheme="majorBidi"/>
                <w:b w:val="0"/>
                <w:bCs w:val="0"/>
                <w:color w:val="auto"/>
                <w:sz w:val="20"/>
                <w:szCs w:val="20"/>
              </w:rPr>
              <w:t>LNOPEN</w:t>
            </w:r>
          </w:p>
        </w:tc>
        <w:tc>
          <w:tcPr>
            <w:tcW w:w="1348"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-0.485*</w:t>
            </w:r>
          </w:p>
        </w:tc>
        <w:tc>
          <w:tcPr>
            <w:tcW w:w="2946"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0.230</w:t>
            </w:r>
          </w:p>
        </w:tc>
        <w:tc>
          <w:tcPr>
            <w:tcW w:w="2000"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-2.105</w:t>
            </w:r>
          </w:p>
        </w:tc>
      </w:tr>
      <w:tr w:rsidR="00EE1D63" w:rsidRPr="00EE1D63" w:rsidTr="00EE1D63">
        <w:trPr>
          <w:trHeight w:val="264"/>
        </w:trPr>
        <w:tc>
          <w:tcPr>
            <w:cnfStyle w:val="001000000000" w:firstRow="0" w:lastRow="0" w:firstColumn="1" w:lastColumn="0" w:oddVBand="0" w:evenVBand="0" w:oddHBand="0" w:evenHBand="0" w:firstRowFirstColumn="0" w:firstRowLastColumn="0" w:lastRowFirstColumn="0" w:lastRowLastColumn="0"/>
            <w:tcW w:w="3152" w:type="dxa"/>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eastAsia="Times New Roman" w:hAnsiTheme="majorBidi" w:cstheme="majorBidi"/>
                <w:b w:val="0"/>
                <w:bCs w:val="0"/>
                <w:color w:val="auto"/>
                <w:sz w:val="20"/>
                <w:szCs w:val="20"/>
              </w:rPr>
              <w:t>LNGCR</w:t>
            </w:r>
          </w:p>
        </w:tc>
        <w:tc>
          <w:tcPr>
            <w:tcW w:w="1348"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-0.284</w:t>
            </w:r>
          </w:p>
        </w:tc>
        <w:tc>
          <w:tcPr>
            <w:tcW w:w="2946"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0.435</w:t>
            </w:r>
          </w:p>
        </w:tc>
        <w:tc>
          <w:tcPr>
            <w:tcW w:w="2000"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-.654</w:t>
            </w:r>
          </w:p>
        </w:tc>
      </w:tr>
      <w:tr w:rsidR="00EE1D63" w:rsidRPr="00EE1D63" w:rsidTr="00EE1D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52" w:type="dxa"/>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eastAsia="Times New Roman" w:hAnsiTheme="majorBidi" w:cstheme="majorBidi"/>
                <w:b w:val="0"/>
                <w:bCs w:val="0"/>
                <w:color w:val="auto"/>
                <w:sz w:val="20"/>
                <w:szCs w:val="20"/>
              </w:rPr>
              <w:t>LNNFAR</w:t>
            </w:r>
          </w:p>
        </w:tc>
        <w:tc>
          <w:tcPr>
            <w:tcW w:w="1348"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-0.042</w:t>
            </w:r>
          </w:p>
        </w:tc>
        <w:tc>
          <w:tcPr>
            <w:tcW w:w="2946"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0.052</w:t>
            </w:r>
          </w:p>
        </w:tc>
        <w:tc>
          <w:tcPr>
            <w:tcW w:w="2000"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-.812</w:t>
            </w:r>
          </w:p>
        </w:tc>
      </w:tr>
      <w:tr w:rsidR="00EE1D63" w:rsidRPr="00EE1D63" w:rsidTr="00EE1D63">
        <w:trPr>
          <w:trHeight w:val="264"/>
        </w:trPr>
        <w:tc>
          <w:tcPr>
            <w:cnfStyle w:val="001000000000" w:firstRow="0" w:lastRow="0" w:firstColumn="1" w:lastColumn="0" w:oddVBand="0" w:evenVBand="0" w:oddHBand="0" w:evenHBand="0" w:firstRowFirstColumn="0" w:firstRowLastColumn="0" w:lastRowFirstColumn="0" w:lastRowLastColumn="0"/>
            <w:tcW w:w="3152" w:type="dxa"/>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eastAsia="Times New Roman" w:hAnsiTheme="majorBidi" w:cstheme="majorBidi"/>
                <w:b w:val="0"/>
                <w:bCs w:val="0"/>
                <w:color w:val="auto"/>
                <w:sz w:val="20"/>
                <w:szCs w:val="20"/>
              </w:rPr>
              <w:t>LNRCPI</w:t>
            </w:r>
          </w:p>
        </w:tc>
        <w:tc>
          <w:tcPr>
            <w:tcW w:w="1348"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-0.037</w:t>
            </w:r>
          </w:p>
        </w:tc>
        <w:tc>
          <w:tcPr>
            <w:tcW w:w="2946"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0.129</w:t>
            </w:r>
          </w:p>
        </w:tc>
        <w:tc>
          <w:tcPr>
            <w:tcW w:w="2000"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-.288</w:t>
            </w:r>
          </w:p>
        </w:tc>
      </w:tr>
      <w:tr w:rsidR="00EE1D63" w:rsidRPr="00EE1D63" w:rsidTr="00EE1D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52" w:type="dxa"/>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eastAsia="Times New Roman" w:hAnsiTheme="majorBidi" w:cstheme="majorBidi"/>
                <w:b w:val="0"/>
                <w:bCs w:val="0"/>
                <w:color w:val="auto"/>
                <w:sz w:val="20"/>
                <w:szCs w:val="20"/>
              </w:rPr>
              <w:t>WGDPG</w:t>
            </w:r>
          </w:p>
        </w:tc>
        <w:tc>
          <w:tcPr>
            <w:tcW w:w="1348"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0.042</w:t>
            </w:r>
          </w:p>
        </w:tc>
        <w:tc>
          <w:tcPr>
            <w:tcW w:w="2946"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0.037</w:t>
            </w:r>
          </w:p>
        </w:tc>
        <w:tc>
          <w:tcPr>
            <w:tcW w:w="2000"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1.139</w:t>
            </w:r>
          </w:p>
        </w:tc>
      </w:tr>
      <w:tr w:rsidR="00EE1D63" w:rsidRPr="00EE1D63" w:rsidTr="00EE1D63">
        <w:trPr>
          <w:trHeight w:val="264"/>
        </w:trPr>
        <w:tc>
          <w:tcPr>
            <w:cnfStyle w:val="001000000000" w:firstRow="0" w:lastRow="0" w:firstColumn="1" w:lastColumn="0" w:oddVBand="0" w:evenVBand="0" w:oddHBand="0" w:evenHBand="0" w:firstRowFirstColumn="0" w:firstRowLastColumn="0" w:lastRowFirstColumn="0" w:lastRowLastColumn="0"/>
            <w:tcW w:w="3152" w:type="dxa"/>
            <w:tcBorders>
              <w:bottom w:val="single" w:sz="4" w:space="0" w:color="auto"/>
            </w:tcBorders>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eastAsia="Times New Roman" w:hAnsiTheme="majorBidi" w:cstheme="majorBidi"/>
                <w:b w:val="0"/>
                <w:bCs w:val="0"/>
                <w:color w:val="auto"/>
                <w:sz w:val="20"/>
                <w:szCs w:val="20"/>
              </w:rPr>
              <w:t>Constant</w:t>
            </w:r>
          </w:p>
        </w:tc>
        <w:tc>
          <w:tcPr>
            <w:tcW w:w="1348" w:type="dxa"/>
            <w:tcBorders>
              <w:bottom w:val="single" w:sz="4" w:space="0" w:color="auto"/>
            </w:tcBorders>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4.398***</w:t>
            </w:r>
          </w:p>
        </w:tc>
        <w:tc>
          <w:tcPr>
            <w:tcW w:w="2946" w:type="dxa"/>
            <w:tcBorders>
              <w:bottom w:val="single" w:sz="4" w:space="0" w:color="auto"/>
            </w:tcBorders>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0.419</w:t>
            </w:r>
          </w:p>
        </w:tc>
        <w:tc>
          <w:tcPr>
            <w:tcW w:w="2000" w:type="dxa"/>
            <w:tcBorders>
              <w:bottom w:val="single" w:sz="4" w:space="0" w:color="auto"/>
            </w:tcBorders>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10.482</w:t>
            </w:r>
          </w:p>
        </w:tc>
      </w:tr>
      <w:tr w:rsidR="00EE1D63" w:rsidRPr="00EE1D63" w:rsidTr="00EE1D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446" w:type="dxa"/>
            <w:gridSpan w:val="4"/>
            <w:tcBorders>
              <w:top w:val="single" w:sz="4" w:space="0" w:color="auto"/>
              <w:bottom w:val="single" w:sz="4" w:space="0" w:color="auto"/>
            </w:tcBorders>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hAnsiTheme="majorBidi" w:cstheme="majorBidi"/>
                <w:b w:val="0"/>
                <w:bCs w:val="0"/>
                <w:color w:val="auto"/>
                <w:sz w:val="20"/>
                <w:szCs w:val="20"/>
              </w:rPr>
              <w:t>Error Correction Representation for the Selected ARDL Model, dependent variables is ∆LNREER</w:t>
            </w:r>
          </w:p>
        </w:tc>
      </w:tr>
      <w:tr w:rsidR="00EE1D63" w:rsidRPr="00EE1D63" w:rsidTr="00EE1D63">
        <w:trPr>
          <w:trHeight w:val="264"/>
        </w:trPr>
        <w:tc>
          <w:tcPr>
            <w:cnfStyle w:val="001000000000" w:firstRow="0" w:lastRow="0" w:firstColumn="1" w:lastColumn="0" w:oddVBand="0" w:evenVBand="0" w:oddHBand="0" w:evenHBand="0" w:firstRowFirstColumn="0" w:firstRowLastColumn="0" w:lastRowFirstColumn="0" w:lastRowLastColumn="0"/>
            <w:tcW w:w="3152" w:type="dxa"/>
            <w:tcBorders>
              <w:top w:val="single" w:sz="4" w:space="0" w:color="auto"/>
            </w:tcBorders>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hAnsiTheme="majorBidi" w:cstheme="majorBidi"/>
                <w:b w:val="0"/>
                <w:bCs w:val="0"/>
                <w:color w:val="auto"/>
                <w:sz w:val="20"/>
                <w:szCs w:val="20"/>
              </w:rPr>
              <w:t>∆</w:t>
            </w:r>
            <w:r w:rsidRPr="00EE1D63">
              <w:rPr>
                <w:rFonts w:asciiTheme="majorBidi" w:eastAsia="Times New Roman" w:hAnsiTheme="majorBidi" w:cstheme="majorBidi"/>
                <w:b w:val="0"/>
                <w:bCs w:val="0"/>
                <w:color w:val="auto"/>
                <w:sz w:val="20"/>
                <w:szCs w:val="20"/>
              </w:rPr>
              <w:t>LNTOT</w:t>
            </w:r>
          </w:p>
        </w:tc>
        <w:tc>
          <w:tcPr>
            <w:tcW w:w="1348" w:type="dxa"/>
            <w:tcBorders>
              <w:top w:val="single" w:sz="4" w:space="0" w:color="auto"/>
            </w:tcBorders>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-0.043**</w:t>
            </w:r>
          </w:p>
        </w:tc>
        <w:tc>
          <w:tcPr>
            <w:tcW w:w="2946" w:type="dxa"/>
            <w:tcBorders>
              <w:top w:val="single" w:sz="4" w:space="0" w:color="auto"/>
            </w:tcBorders>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0.014</w:t>
            </w:r>
          </w:p>
        </w:tc>
        <w:tc>
          <w:tcPr>
            <w:tcW w:w="2000" w:type="dxa"/>
            <w:tcBorders>
              <w:top w:val="single" w:sz="4" w:space="0" w:color="auto"/>
            </w:tcBorders>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-3.101</w:t>
            </w:r>
          </w:p>
        </w:tc>
      </w:tr>
      <w:tr w:rsidR="00EE1D63" w:rsidRPr="00EE1D63" w:rsidTr="00EE1D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52" w:type="dxa"/>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hAnsiTheme="majorBidi" w:cstheme="majorBidi"/>
                <w:b w:val="0"/>
                <w:bCs w:val="0"/>
                <w:color w:val="auto"/>
                <w:sz w:val="20"/>
                <w:szCs w:val="20"/>
              </w:rPr>
              <w:t>∆</w:t>
            </w:r>
            <w:r w:rsidRPr="00EE1D63">
              <w:rPr>
                <w:rFonts w:asciiTheme="majorBidi" w:eastAsia="Times New Roman" w:hAnsiTheme="majorBidi" w:cstheme="majorBidi"/>
                <w:b w:val="0"/>
                <w:bCs w:val="0"/>
                <w:color w:val="auto"/>
                <w:sz w:val="20"/>
                <w:szCs w:val="20"/>
              </w:rPr>
              <w:t>LNOPEN</w:t>
            </w:r>
          </w:p>
        </w:tc>
        <w:tc>
          <w:tcPr>
            <w:tcW w:w="1348"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-0.195***</w:t>
            </w:r>
          </w:p>
        </w:tc>
        <w:tc>
          <w:tcPr>
            <w:tcW w:w="2946"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0.049</w:t>
            </w:r>
          </w:p>
        </w:tc>
        <w:tc>
          <w:tcPr>
            <w:tcW w:w="2000"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-3.953</w:t>
            </w:r>
          </w:p>
        </w:tc>
      </w:tr>
      <w:tr w:rsidR="00EE1D63" w:rsidRPr="00EE1D63" w:rsidTr="00EE1D63">
        <w:trPr>
          <w:trHeight w:val="264"/>
        </w:trPr>
        <w:tc>
          <w:tcPr>
            <w:cnfStyle w:val="001000000000" w:firstRow="0" w:lastRow="0" w:firstColumn="1" w:lastColumn="0" w:oddVBand="0" w:evenVBand="0" w:oddHBand="0" w:evenHBand="0" w:firstRowFirstColumn="0" w:firstRowLastColumn="0" w:lastRowFirstColumn="0" w:lastRowLastColumn="0"/>
            <w:tcW w:w="3152" w:type="dxa"/>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hAnsiTheme="majorBidi" w:cstheme="majorBidi"/>
                <w:b w:val="0"/>
                <w:bCs w:val="0"/>
                <w:color w:val="auto"/>
                <w:sz w:val="20"/>
                <w:szCs w:val="20"/>
              </w:rPr>
              <w:t>∆</w:t>
            </w:r>
            <w:r w:rsidRPr="00EE1D63">
              <w:rPr>
                <w:rFonts w:asciiTheme="majorBidi" w:eastAsia="Times New Roman" w:hAnsiTheme="majorBidi" w:cstheme="majorBidi"/>
                <w:b w:val="0"/>
                <w:bCs w:val="0"/>
                <w:color w:val="auto"/>
                <w:sz w:val="20"/>
                <w:szCs w:val="20"/>
              </w:rPr>
              <w:t>LNGCR</w:t>
            </w:r>
          </w:p>
        </w:tc>
        <w:tc>
          <w:tcPr>
            <w:tcW w:w="1348"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-0.055</w:t>
            </w:r>
          </w:p>
        </w:tc>
        <w:tc>
          <w:tcPr>
            <w:tcW w:w="2946"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0.103</w:t>
            </w:r>
          </w:p>
        </w:tc>
        <w:tc>
          <w:tcPr>
            <w:tcW w:w="2000"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-.539</w:t>
            </w:r>
          </w:p>
        </w:tc>
      </w:tr>
      <w:tr w:rsidR="00EE1D63" w:rsidRPr="00EE1D63" w:rsidTr="00EE1D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52" w:type="dxa"/>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hAnsiTheme="majorBidi" w:cstheme="majorBidi"/>
                <w:b w:val="0"/>
                <w:bCs w:val="0"/>
                <w:color w:val="auto"/>
                <w:sz w:val="20"/>
                <w:szCs w:val="20"/>
              </w:rPr>
              <w:t>∆</w:t>
            </w:r>
            <w:r w:rsidRPr="00EE1D63">
              <w:rPr>
                <w:rFonts w:asciiTheme="majorBidi" w:eastAsia="Times New Roman" w:hAnsiTheme="majorBidi" w:cstheme="majorBidi"/>
                <w:b w:val="0"/>
                <w:bCs w:val="0"/>
                <w:color w:val="auto"/>
                <w:sz w:val="20"/>
                <w:szCs w:val="20"/>
              </w:rPr>
              <w:t>LNNFAR</w:t>
            </w:r>
          </w:p>
        </w:tc>
        <w:tc>
          <w:tcPr>
            <w:tcW w:w="1348"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-0.140</w:t>
            </w:r>
          </w:p>
        </w:tc>
        <w:tc>
          <w:tcPr>
            <w:tcW w:w="2946"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0.071</w:t>
            </w:r>
          </w:p>
        </w:tc>
        <w:tc>
          <w:tcPr>
            <w:tcW w:w="2000"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-1.975</w:t>
            </w:r>
          </w:p>
        </w:tc>
      </w:tr>
      <w:tr w:rsidR="00EE1D63" w:rsidRPr="00EE1D63" w:rsidTr="00EE1D63">
        <w:trPr>
          <w:trHeight w:val="264"/>
        </w:trPr>
        <w:tc>
          <w:tcPr>
            <w:cnfStyle w:val="001000000000" w:firstRow="0" w:lastRow="0" w:firstColumn="1" w:lastColumn="0" w:oddVBand="0" w:evenVBand="0" w:oddHBand="0" w:evenHBand="0" w:firstRowFirstColumn="0" w:firstRowLastColumn="0" w:lastRowFirstColumn="0" w:lastRowLastColumn="0"/>
            <w:tcW w:w="3152" w:type="dxa"/>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hAnsiTheme="majorBidi" w:cstheme="majorBidi"/>
                <w:b w:val="0"/>
                <w:bCs w:val="0"/>
                <w:color w:val="auto"/>
                <w:sz w:val="20"/>
                <w:szCs w:val="20"/>
              </w:rPr>
              <w:t>∆</w:t>
            </w:r>
            <w:r w:rsidRPr="00EE1D63">
              <w:rPr>
                <w:rFonts w:asciiTheme="majorBidi" w:eastAsia="Times New Roman" w:hAnsiTheme="majorBidi" w:cstheme="majorBidi"/>
                <w:b w:val="0"/>
                <w:bCs w:val="0"/>
                <w:color w:val="auto"/>
                <w:sz w:val="20"/>
                <w:szCs w:val="20"/>
              </w:rPr>
              <w:t>LNRCPI</w:t>
            </w:r>
          </w:p>
        </w:tc>
        <w:tc>
          <w:tcPr>
            <w:tcW w:w="1348"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-0.066</w:t>
            </w:r>
          </w:p>
        </w:tc>
        <w:tc>
          <w:tcPr>
            <w:tcW w:w="2946"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0.031</w:t>
            </w:r>
          </w:p>
        </w:tc>
        <w:tc>
          <w:tcPr>
            <w:tcW w:w="2000"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-1.141</w:t>
            </w:r>
          </w:p>
        </w:tc>
      </w:tr>
      <w:tr w:rsidR="00EE1D63" w:rsidRPr="00EE1D63" w:rsidTr="00EE1D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52" w:type="dxa"/>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hAnsiTheme="majorBidi" w:cstheme="majorBidi"/>
                <w:b w:val="0"/>
                <w:bCs w:val="0"/>
                <w:color w:val="auto"/>
                <w:sz w:val="20"/>
                <w:szCs w:val="20"/>
              </w:rPr>
              <w:t>∆</w:t>
            </w:r>
            <w:r w:rsidRPr="00EE1D63">
              <w:rPr>
                <w:rFonts w:asciiTheme="majorBidi" w:eastAsia="Times New Roman" w:hAnsiTheme="majorBidi" w:cstheme="majorBidi"/>
                <w:b w:val="0"/>
                <w:bCs w:val="0"/>
                <w:color w:val="auto"/>
                <w:sz w:val="20"/>
                <w:szCs w:val="20"/>
              </w:rPr>
              <w:t>WGDPG</w:t>
            </w:r>
          </w:p>
        </w:tc>
        <w:tc>
          <w:tcPr>
            <w:tcW w:w="1348"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0.008</w:t>
            </w:r>
          </w:p>
        </w:tc>
        <w:tc>
          <w:tcPr>
            <w:tcW w:w="2946"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0.006</w:t>
            </w:r>
          </w:p>
        </w:tc>
        <w:tc>
          <w:tcPr>
            <w:tcW w:w="2000"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1.301</w:t>
            </w:r>
          </w:p>
        </w:tc>
      </w:tr>
      <w:tr w:rsidR="00EE1D63" w:rsidRPr="00EE1D63" w:rsidTr="00EE1D63">
        <w:trPr>
          <w:trHeight w:val="264"/>
        </w:trPr>
        <w:tc>
          <w:tcPr>
            <w:cnfStyle w:val="001000000000" w:firstRow="0" w:lastRow="0" w:firstColumn="1" w:lastColumn="0" w:oddVBand="0" w:evenVBand="0" w:oddHBand="0" w:evenHBand="0" w:firstRowFirstColumn="0" w:firstRowLastColumn="0" w:lastRowFirstColumn="0" w:lastRowLastColumn="0"/>
            <w:tcW w:w="3152" w:type="dxa"/>
            <w:tcBorders>
              <w:bottom w:val="single" w:sz="4" w:space="0" w:color="auto"/>
            </w:tcBorders>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eastAsia="Times New Roman" w:hAnsiTheme="majorBidi" w:cstheme="majorBidi"/>
                <w:b w:val="0"/>
                <w:bCs w:val="0"/>
                <w:color w:val="auto"/>
                <w:sz w:val="20"/>
                <w:szCs w:val="20"/>
              </w:rPr>
              <w:t>ECM(-1)</w:t>
            </w:r>
          </w:p>
        </w:tc>
        <w:tc>
          <w:tcPr>
            <w:tcW w:w="1348"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-0.195***</w:t>
            </w:r>
          </w:p>
        </w:tc>
        <w:tc>
          <w:tcPr>
            <w:tcW w:w="2946"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0.055</w:t>
            </w:r>
          </w:p>
        </w:tc>
        <w:tc>
          <w:tcPr>
            <w:tcW w:w="2000"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-3.576</w:t>
            </w:r>
          </w:p>
        </w:tc>
      </w:tr>
      <w:tr w:rsidR="00EE1D63" w:rsidRPr="00EE1D63" w:rsidTr="00EE1D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52" w:type="dxa"/>
            <w:tcBorders>
              <w:top w:val="single" w:sz="4" w:space="0" w:color="auto"/>
              <w:bottom w:val="single" w:sz="4" w:space="0" w:color="auto"/>
            </w:tcBorders>
            <w:shd w:val="clear" w:color="auto" w:fill="auto"/>
            <w:noWrap/>
            <w:hideMark/>
          </w:tcPr>
          <w:p w:rsidR="00EE1D63" w:rsidRPr="002A5973" w:rsidRDefault="00EE1D63" w:rsidP="008F303E">
            <w:pPr>
              <w:rPr>
                <w:rFonts w:asciiTheme="majorBidi" w:eastAsia="Times New Roman" w:hAnsiTheme="majorBidi" w:cstheme="majorBidi"/>
                <w:color w:val="auto"/>
                <w:sz w:val="20"/>
                <w:szCs w:val="20"/>
              </w:rPr>
            </w:pPr>
            <w:r w:rsidRPr="002A5973">
              <w:rPr>
                <w:rFonts w:asciiTheme="majorBidi" w:eastAsia="Times New Roman" w:hAnsiTheme="majorBidi" w:cstheme="majorBidi"/>
                <w:color w:val="auto"/>
                <w:sz w:val="20"/>
                <w:szCs w:val="20"/>
              </w:rPr>
              <w:t>Diagnostics</w:t>
            </w:r>
          </w:p>
        </w:tc>
        <w:tc>
          <w:tcPr>
            <w:tcW w:w="1348" w:type="dxa"/>
            <w:tcBorders>
              <w:bottom w:val="single" w:sz="4" w:space="0" w:color="auto"/>
            </w:tcBorders>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p>
        </w:tc>
        <w:tc>
          <w:tcPr>
            <w:tcW w:w="2946" w:type="dxa"/>
            <w:tcBorders>
              <w:bottom w:val="single" w:sz="4" w:space="0" w:color="auto"/>
            </w:tcBorders>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p>
        </w:tc>
        <w:tc>
          <w:tcPr>
            <w:tcW w:w="2000" w:type="dxa"/>
            <w:tcBorders>
              <w:bottom w:val="single" w:sz="4" w:space="0" w:color="auto"/>
            </w:tcBorders>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p>
        </w:tc>
      </w:tr>
      <w:tr w:rsidR="00EE1D63" w:rsidRPr="00EE1D63" w:rsidTr="00EE1D63">
        <w:trPr>
          <w:trHeight w:val="264"/>
        </w:trPr>
        <w:tc>
          <w:tcPr>
            <w:cnfStyle w:val="001000000000" w:firstRow="0" w:lastRow="0" w:firstColumn="1" w:lastColumn="0" w:oddVBand="0" w:evenVBand="0" w:oddHBand="0" w:evenHBand="0" w:firstRowFirstColumn="0" w:firstRowLastColumn="0" w:lastRowFirstColumn="0" w:lastRowLastColumn="0"/>
            <w:tcW w:w="3152" w:type="dxa"/>
            <w:tcBorders>
              <w:top w:val="single" w:sz="4" w:space="0" w:color="auto"/>
            </w:tcBorders>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eastAsia="Times New Roman" w:hAnsiTheme="majorBidi" w:cstheme="majorBidi"/>
                <w:b w:val="0"/>
                <w:bCs w:val="0"/>
                <w:color w:val="auto"/>
                <w:sz w:val="20"/>
                <w:szCs w:val="20"/>
              </w:rPr>
              <w:t xml:space="preserve"> R-Squared </w:t>
            </w:r>
          </w:p>
        </w:tc>
        <w:tc>
          <w:tcPr>
            <w:tcW w:w="1348" w:type="dxa"/>
            <w:tcBorders>
              <w:top w:val="single" w:sz="4" w:space="0" w:color="auto"/>
            </w:tcBorders>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0.555</w:t>
            </w:r>
          </w:p>
        </w:tc>
        <w:tc>
          <w:tcPr>
            <w:tcW w:w="2946" w:type="dxa"/>
            <w:tcBorders>
              <w:top w:val="single" w:sz="4" w:space="0" w:color="auto"/>
            </w:tcBorders>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R-Bar-Squared</w:t>
            </w:r>
          </w:p>
        </w:tc>
        <w:tc>
          <w:tcPr>
            <w:tcW w:w="2000" w:type="dxa"/>
            <w:tcBorders>
              <w:top w:val="single" w:sz="4" w:space="0" w:color="auto"/>
            </w:tcBorders>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0.401</w:t>
            </w:r>
          </w:p>
        </w:tc>
      </w:tr>
      <w:tr w:rsidR="00EE1D63" w:rsidRPr="00EE1D63" w:rsidTr="00EE1D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52" w:type="dxa"/>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eastAsia="Times New Roman" w:hAnsiTheme="majorBidi" w:cstheme="majorBidi"/>
                <w:b w:val="0"/>
                <w:bCs w:val="0"/>
                <w:color w:val="auto"/>
                <w:sz w:val="20"/>
                <w:szCs w:val="20"/>
              </w:rPr>
              <w:t xml:space="preserve"> S.E. of Regression</w:t>
            </w:r>
          </w:p>
        </w:tc>
        <w:tc>
          <w:tcPr>
            <w:tcW w:w="1348"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0.032</w:t>
            </w:r>
          </w:p>
        </w:tc>
        <w:tc>
          <w:tcPr>
            <w:tcW w:w="2946"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F-statistic    F(7,28)</w:t>
            </w:r>
          </w:p>
        </w:tc>
        <w:tc>
          <w:tcPr>
            <w:tcW w:w="2000"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4.629[.002]</w:t>
            </w:r>
          </w:p>
        </w:tc>
      </w:tr>
      <w:tr w:rsidR="00EE1D63" w:rsidRPr="00EE1D63" w:rsidTr="00EE1D63">
        <w:trPr>
          <w:trHeight w:val="264"/>
        </w:trPr>
        <w:tc>
          <w:tcPr>
            <w:cnfStyle w:val="001000000000" w:firstRow="0" w:lastRow="0" w:firstColumn="1" w:lastColumn="0" w:oddVBand="0" w:evenVBand="0" w:oddHBand="0" w:evenHBand="0" w:firstRowFirstColumn="0" w:firstRowLastColumn="0" w:lastRowFirstColumn="0" w:lastRowLastColumn="0"/>
            <w:tcW w:w="3152" w:type="dxa"/>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eastAsia="Times New Roman" w:hAnsiTheme="majorBidi" w:cstheme="majorBidi"/>
                <w:b w:val="0"/>
                <w:bCs w:val="0"/>
                <w:color w:val="auto"/>
                <w:sz w:val="20"/>
                <w:szCs w:val="20"/>
              </w:rPr>
              <w:t>Mean of Dependent Variable</w:t>
            </w:r>
          </w:p>
        </w:tc>
        <w:tc>
          <w:tcPr>
            <w:tcW w:w="1348"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4.94E-04</w:t>
            </w:r>
          </w:p>
        </w:tc>
        <w:tc>
          <w:tcPr>
            <w:tcW w:w="2946"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S.D. of Dependent Variable</w:t>
            </w:r>
          </w:p>
        </w:tc>
        <w:tc>
          <w:tcPr>
            <w:tcW w:w="2000"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0.042</w:t>
            </w:r>
          </w:p>
        </w:tc>
      </w:tr>
      <w:tr w:rsidR="00EE1D63" w:rsidRPr="00EE1D63" w:rsidTr="00EE1D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52" w:type="dxa"/>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eastAsia="Times New Roman" w:hAnsiTheme="majorBidi" w:cstheme="majorBidi"/>
                <w:b w:val="0"/>
                <w:bCs w:val="0"/>
                <w:color w:val="auto"/>
                <w:sz w:val="20"/>
                <w:szCs w:val="20"/>
              </w:rPr>
              <w:t>Residual Sum of Squares</w:t>
            </w:r>
          </w:p>
        </w:tc>
        <w:tc>
          <w:tcPr>
            <w:tcW w:w="1348"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0.027</w:t>
            </w:r>
          </w:p>
        </w:tc>
        <w:tc>
          <w:tcPr>
            <w:tcW w:w="2946"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Equation Log-likelihood</w:t>
            </w:r>
          </w:p>
        </w:tc>
        <w:tc>
          <w:tcPr>
            <w:tcW w:w="2000"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78.162</w:t>
            </w:r>
          </w:p>
        </w:tc>
      </w:tr>
      <w:tr w:rsidR="00EE1D63" w:rsidRPr="00EE1D63" w:rsidTr="00EE1D63">
        <w:trPr>
          <w:trHeight w:val="264"/>
        </w:trPr>
        <w:tc>
          <w:tcPr>
            <w:cnfStyle w:val="001000000000" w:firstRow="0" w:lastRow="0" w:firstColumn="1" w:lastColumn="0" w:oddVBand="0" w:evenVBand="0" w:oddHBand="0" w:evenHBand="0" w:firstRowFirstColumn="0" w:firstRowLastColumn="0" w:lastRowFirstColumn="0" w:lastRowLastColumn="0"/>
            <w:tcW w:w="3152" w:type="dxa"/>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proofErr w:type="spellStart"/>
            <w:r w:rsidRPr="00EE1D63">
              <w:rPr>
                <w:rFonts w:asciiTheme="majorBidi" w:eastAsia="Times New Roman" w:hAnsiTheme="majorBidi" w:cstheme="majorBidi"/>
                <w:b w:val="0"/>
                <w:bCs w:val="0"/>
                <w:color w:val="auto"/>
                <w:sz w:val="20"/>
                <w:szCs w:val="20"/>
              </w:rPr>
              <w:t>Akaike</w:t>
            </w:r>
            <w:proofErr w:type="spellEnd"/>
            <w:r w:rsidRPr="00EE1D63">
              <w:rPr>
                <w:rFonts w:asciiTheme="majorBidi" w:eastAsia="Times New Roman" w:hAnsiTheme="majorBidi" w:cstheme="majorBidi"/>
                <w:b w:val="0"/>
                <w:bCs w:val="0"/>
                <w:color w:val="auto"/>
                <w:sz w:val="20"/>
                <w:szCs w:val="20"/>
              </w:rPr>
              <w:t xml:space="preserve"> Information  Criterion</w:t>
            </w:r>
          </w:p>
        </w:tc>
        <w:tc>
          <w:tcPr>
            <w:tcW w:w="1348"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68.162</w:t>
            </w:r>
          </w:p>
        </w:tc>
        <w:tc>
          <w:tcPr>
            <w:tcW w:w="2946"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Schwarz Bayesian Criterion</w:t>
            </w:r>
          </w:p>
        </w:tc>
        <w:tc>
          <w:tcPr>
            <w:tcW w:w="2000" w:type="dxa"/>
            <w:shd w:val="clear" w:color="auto" w:fill="auto"/>
            <w:noWrap/>
            <w:hideMark/>
          </w:tcPr>
          <w:p w:rsidR="00EE1D63" w:rsidRPr="00EE1D63" w:rsidRDefault="00EE1D63" w:rsidP="008F303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60.244</w:t>
            </w:r>
          </w:p>
        </w:tc>
      </w:tr>
      <w:tr w:rsidR="00EE1D63" w:rsidRPr="00EE1D63" w:rsidTr="00EE1D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52" w:type="dxa"/>
            <w:shd w:val="clear" w:color="auto" w:fill="auto"/>
            <w:noWrap/>
            <w:hideMark/>
          </w:tcPr>
          <w:p w:rsidR="00EE1D63" w:rsidRPr="00EE1D63" w:rsidRDefault="00EE1D63" w:rsidP="008F303E">
            <w:pPr>
              <w:rPr>
                <w:rFonts w:asciiTheme="majorBidi" w:eastAsia="Times New Roman" w:hAnsiTheme="majorBidi" w:cstheme="majorBidi"/>
                <w:b w:val="0"/>
                <w:bCs w:val="0"/>
                <w:color w:val="auto"/>
                <w:sz w:val="20"/>
                <w:szCs w:val="20"/>
              </w:rPr>
            </w:pPr>
            <w:r w:rsidRPr="00EE1D63">
              <w:rPr>
                <w:rFonts w:asciiTheme="majorBidi" w:eastAsia="Times New Roman" w:hAnsiTheme="majorBidi" w:cstheme="majorBidi"/>
                <w:b w:val="0"/>
                <w:bCs w:val="0"/>
                <w:color w:val="auto"/>
                <w:sz w:val="20"/>
                <w:szCs w:val="20"/>
              </w:rPr>
              <w:t>DW-statistic</w:t>
            </w:r>
          </w:p>
        </w:tc>
        <w:tc>
          <w:tcPr>
            <w:tcW w:w="1348"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r w:rsidRPr="00EE1D63">
              <w:rPr>
                <w:rFonts w:asciiTheme="majorBidi" w:eastAsia="Times New Roman" w:hAnsiTheme="majorBidi" w:cstheme="majorBidi"/>
                <w:color w:val="auto"/>
                <w:sz w:val="20"/>
                <w:szCs w:val="20"/>
              </w:rPr>
              <w:t>1.978</w:t>
            </w:r>
          </w:p>
        </w:tc>
        <w:tc>
          <w:tcPr>
            <w:tcW w:w="2946"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p>
        </w:tc>
        <w:tc>
          <w:tcPr>
            <w:tcW w:w="2000" w:type="dxa"/>
            <w:shd w:val="clear" w:color="auto" w:fill="auto"/>
            <w:noWrap/>
            <w:hideMark/>
          </w:tcPr>
          <w:p w:rsidR="00EE1D63" w:rsidRPr="00EE1D63" w:rsidRDefault="00EE1D63" w:rsidP="008F303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sz w:val="20"/>
                <w:szCs w:val="20"/>
              </w:rPr>
            </w:pPr>
          </w:p>
        </w:tc>
      </w:tr>
    </w:tbl>
    <w:p w:rsidR="00EE1D63" w:rsidRPr="00EE1D63" w:rsidRDefault="00EE1D63" w:rsidP="00EE1D63">
      <w:pPr>
        <w:autoSpaceDE w:val="0"/>
        <w:autoSpaceDN w:val="0"/>
        <w:adjustRightInd w:val="0"/>
        <w:spacing w:after="0" w:line="240" w:lineRule="auto"/>
        <w:jc w:val="both"/>
        <w:rPr>
          <w:rFonts w:asciiTheme="majorBidi" w:hAnsiTheme="majorBidi" w:cstheme="majorBidi"/>
          <w:b/>
          <w:bCs/>
          <w:sz w:val="24"/>
          <w:szCs w:val="24"/>
        </w:rPr>
      </w:pPr>
      <w:r w:rsidRPr="00EE1D63">
        <w:rPr>
          <w:rFonts w:ascii="Times New Roman" w:hAnsi="Times New Roman"/>
          <w:b/>
          <w:sz w:val="20"/>
          <w:szCs w:val="20"/>
        </w:rPr>
        <w:t xml:space="preserve">Notes: </w:t>
      </w:r>
      <w:r w:rsidRPr="00EE1D63">
        <w:rPr>
          <w:rFonts w:ascii="Times New Roman" w:hAnsi="Times New Roman"/>
          <w:bCs/>
          <w:sz w:val="20"/>
          <w:szCs w:val="20"/>
        </w:rPr>
        <w:t>*, **, and *** denote, respectively, 10%, 5% and 1%. [] denotes p-value.</w:t>
      </w:r>
    </w:p>
    <w:p w:rsidR="00EE1D63" w:rsidRPr="00EE1D63" w:rsidRDefault="00EE1D63" w:rsidP="00EE1D63">
      <w:pPr>
        <w:tabs>
          <w:tab w:val="left" w:pos="1500"/>
        </w:tabs>
        <w:autoSpaceDE w:val="0"/>
        <w:autoSpaceDN w:val="0"/>
        <w:adjustRightInd w:val="0"/>
        <w:spacing w:line="480" w:lineRule="auto"/>
        <w:jc w:val="both"/>
        <w:rPr>
          <w:rFonts w:ascii="Times New Roman" w:eastAsia="Times New Roman" w:hAnsi="Times New Roman"/>
          <w:bCs/>
          <w:sz w:val="24"/>
          <w:szCs w:val="24"/>
        </w:rPr>
      </w:pPr>
    </w:p>
    <w:p w:rsidR="00EE1D63" w:rsidRPr="00EE1D63" w:rsidRDefault="00EE1D63" w:rsidP="00EE1D63">
      <w:pPr>
        <w:tabs>
          <w:tab w:val="left" w:pos="1500"/>
        </w:tabs>
        <w:autoSpaceDE w:val="0"/>
        <w:autoSpaceDN w:val="0"/>
        <w:adjustRightInd w:val="0"/>
        <w:spacing w:line="480" w:lineRule="auto"/>
        <w:jc w:val="both"/>
        <w:rPr>
          <w:rFonts w:ascii="Times New Roman" w:eastAsia="Times New Roman" w:hAnsi="Times New Roman"/>
          <w:bCs/>
          <w:sz w:val="24"/>
          <w:szCs w:val="24"/>
        </w:rPr>
      </w:pPr>
      <w:r w:rsidRPr="00EE1D63">
        <w:rPr>
          <w:rFonts w:ascii="Times New Roman" w:eastAsia="Times New Roman" w:hAnsi="Times New Roman"/>
          <w:bCs/>
          <w:sz w:val="24"/>
          <w:szCs w:val="24"/>
        </w:rPr>
        <w:t xml:space="preserve">The parsimonious models are presented in </w:t>
      </w:r>
      <w:proofErr w:type="spellStart"/>
      <w:r w:rsidRPr="00EE1D63">
        <w:rPr>
          <w:rFonts w:ascii="Times New Roman" w:eastAsia="Times New Roman" w:hAnsi="Times New Roman"/>
          <w:bCs/>
          <w:i/>
          <w:iCs/>
          <w:sz w:val="24"/>
          <w:szCs w:val="24"/>
        </w:rPr>
        <w:t>Eqs</w:t>
      </w:r>
      <w:proofErr w:type="spellEnd"/>
      <w:r w:rsidRPr="00EE1D63">
        <w:rPr>
          <w:rFonts w:ascii="Times New Roman" w:eastAsia="Times New Roman" w:hAnsi="Times New Roman"/>
          <w:bCs/>
          <w:i/>
          <w:iCs/>
          <w:sz w:val="24"/>
          <w:szCs w:val="24"/>
        </w:rPr>
        <w:t>.</w:t>
      </w:r>
      <w:r w:rsidRPr="00EE1D63">
        <w:rPr>
          <w:rFonts w:ascii="Times New Roman" w:eastAsia="Times New Roman" w:hAnsi="Times New Roman"/>
          <w:bCs/>
          <w:sz w:val="24"/>
          <w:szCs w:val="24"/>
        </w:rPr>
        <w:t xml:space="preserve"> (3) and (4) below. These are respectively, the long-run and the short-run models.</w:t>
      </w:r>
      <w:r w:rsidRPr="00EE1D63">
        <w:rPr>
          <w:rStyle w:val="FootnoteReference"/>
          <w:bCs/>
          <w:sz w:val="24"/>
          <w:szCs w:val="24"/>
        </w:rPr>
        <w:footnoteReference w:id="11"/>
      </w:r>
      <w:r w:rsidRPr="00EE1D63">
        <w:rPr>
          <w:rFonts w:ascii="Times New Roman" w:eastAsia="Times New Roman" w:hAnsi="Times New Roman"/>
          <w:bCs/>
          <w:sz w:val="24"/>
          <w:szCs w:val="24"/>
        </w:rPr>
        <w:t xml:space="preserve"> </w:t>
      </w:r>
    </w:p>
    <w:p w:rsidR="00EE1D63" w:rsidRPr="00EE1D63" w:rsidRDefault="00EE1D63" w:rsidP="00EE1D63">
      <w:pPr>
        <w:tabs>
          <w:tab w:val="left" w:pos="1500"/>
        </w:tabs>
        <w:spacing w:after="0" w:line="480" w:lineRule="auto"/>
        <w:jc w:val="both"/>
        <w:rPr>
          <w:rFonts w:ascii="Cambria Math" w:hAnsi="Cambria Math"/>
          <w:sz w:val="24"/>
          <w:szCs w:val="24"/>
          <w:oMath/>
        </w:rPr>
      </w:pPr>
      <m:oMath>
        <m:r>
          <w:rPr>
            <w:rFonts w:ascii="Cambria Math" w:hAnsi="Cambria Math"/>
            <w:sz w:val="24"/>
            <w:szCs w:val="24"/>
          </w:rPr>
          <m:t>ln</m:t>
        </m:r>
        <m:sSub>
          <m:sSubPr>
            <m:ctrlPr>
              <w:rPr>
                <w:rFonts w:ascii="Cambria Math" w:hAnsi="Cambria Math"/>
                <w:bCs/>
                <w:i/>
                <w:sz w:val="24"/>
                <w:szCs w:val="24"/>
              </w:rPr>
            </m:ctrlPr>
          </m:sSubPr>
          <m:e>
            <m:r>
              <w:rPr>
                <w:rFonts w:ascii="Cambria Math" w:hAnsi="Cambria Math"/>
                <w:sz w:val="24"/>
                <w:szCs w:val="24"/>
              </w:rPr>
              <m:t>REER</m:t>
            </m:r>
          </m:e>
          <m:sub>
            <m:r>
              <w:rPr>
                <w:rFonts w:ascii="Cambria Math" w:hAnsi="Cambria Math"/>
                <w:sz w:val="24"/>
                <w:szCs w:val="24"/>
              </w:rPr>
              <m:t>t</m:t>
            </m:r>
          </m:sub>
        </m:sSub>
        <m:r>
          <w:rPr>
            <w:rFonts w:ascii="Cambria Math" w:hAnsi="Cambria Math"/>
            <w:sz w:val="24"/>
            <w:szCs w:val="24"/>
          </w:rPr>
          <m:t xml:space="preserve"> = 4.674 -.298ln</m:t>
        </m:r>
        <m:sSub>
          <m:sSubPr>
            <m:ctrlPr>
              <w:rPr>
                <w:rFonts w:ascii="Cambria Math" w:hAnsi="Cambria Math"/>
                <w:bCs/>
                <w:i/>
                <w:sz w:val="24"/>
                <w:szCs w:val="24"/>
              </w:rPr>
            </m:ctrlPr>
          </m:sSubPr>
          <m:e>
            <m:r>
              <w:rPr>
                <w:rFonts w:ascii="Cambria Math" w:hAnsi="Cambria Math"/>
                <w:sz w:val="24"/>
                <w:szCs w:val="24"/>
              </w:rPr>
              <m:t>OPEN</m:t>
            </m:r>
          </m:e>
          <m:sub>
            <m:r>
              <w:rPr>
                <w:rFonts w:ascii="Cambria Math" w:hAnsi="Cambria Math"/>
                <w:sz w:val="24"/>
                <w:szCs w:val="24"/>
              </w:rPr>
              <m:t>t</m:t>
            </m:r>
          </m:sub>
        </m:sSub>
        <m:r>
          <w:rPr>
            <w:rFonts w:ascii="Cambria Math" w:hAnsi="Cambria Math"/>
            <w:sz w:val="24"/>
            <w:szCs w:val="24"/>
          </w:rPr>
          <m:t>-.425ln</m:t>
        </m:r>
        <m:sSub>
          <m:sSubPr>
            <m:ctrlPr>
              <w:rPr>
                <w:rFonts w:ascii="Cambria Math" w:hAnsi="Cambria Math"/>
                <w:bCs/>
                <w:i/>
                <w:sz w:val="24"/>
                <w:szCs w:val="24"/>
              </w:rPr>
            </m:ctrlPr>
          </m:sSubPr>
          <m:e>
            <m:r>
              <w:rPr>
                <w:rFonts w:ascii="Cambria Math" w:hAnsi="Cambria Math"/>
                <w:sz w:val="24"/>
                <w:szCs w:val="24"/>
              </w:rPr>
              <m:t>TOT</m:t>
            </m:r>
          </m:e>
          <m:sub>
            <m:r>
              <w:rPr>
                <w:rFonts w:ascii="Cambria Math" w:hAnsi="Cambria Math"/>
                <w:sz w:val="24"/>
                <w:szCs w:val="24"/>
              </w:rPr>
              <m:t>t</m:t>
            </m:r>
          </m:sub>
        </m:sSub>
      </m:oMath>
      <w:r w:rsidRPr="00EE1D63">
        <w:rPr>
          <w:rFonts w:ascii="Times New Roman" w:eastAsiaTheme="minorEastAsia" w:hAnsi="Times New Roman"/>
          <w:bCs/>
          <w:sz w:val="24"/>
          <w:szCs w:val="24"/>
        </w:rPr>
        <w:t xml:space="preserve">                                                                  (3)</w:t>
      </w:r>
    </w:p>
    <w:p w:rsidR="00EE1D63" w:rsidRPr="00EE1D63" w:rsidRDefault="00EE1D63" w:rsidP="00EE1D63">
      <w:pPr>
        <w:tabs>
          <w:tab w:val="left" w:pos="1080"/>
        </w:tabs>
        <w:spacing w:after="0" w:line="480" w:lineRule="auto"/>
        <w:jc w:val="both"/>
        <w:rPr>
          <w:rFonts w:ascii="Times New Roman" w:eastAsiaTheme="minorEastAsia" w:hAnsi="Times New Roman"/>
          <w:bCs/>
          <w:sz w:val="24"/>
          <w:szCs w:val="24"/>
        </w:rPr>
      </w:pPr>
      <m:oMath>
        <m:r>
          <w:rPr>
            <w:rFonts w:ascii="Cambria Math" w:hAnsi="Cambria Math"/>
            <w:sz w:val="24"/>
            <w:szCs w:val="24"/>
          </w:rPr>
          <m:t xml:space="preserve">                 [</m:t>
        </m:r>
        <m:sSup>
          <m:sSupPr>
            <m:ctrlPr>
              <w:rPr>
                <w:rFonts w:ascii="Cambria Math" w:hAnsi="Cambria Math"/>
                <w:bCs/>
                <w:i/>
                <w:sz w:val="24"/>
                <w:szCs w:val="24"/>
              </w:rPr>
            </m:ctrlPr>
          </m:sSupPr>
          <m:e>
            <m:r>
              <w:rPr>
                <w:rFonts w:ascii="Cambria Math" w:hAnsi="Cambria Math"/>
                <w:sz w:val="24"/>
                <w:szCs w:val="24"/>
              </w:rPr>
              <m:t>162.976</m:t>
            </m:r>
          </m:e>
          <m:sup>
            <m:r>
              <w:rPr>
                <w:rFonts w:ascii="Cambria Math" w:hAnsi="Cambria Math"/>
                <w:sz w:val="24"/>
                <w:szCs w:val="24"/>
              </w:rPr>
              <m:t>***</m:t>
            </m:r>
          </m:sup>
        </m:sSup>
        <m:r>
          <w:rPr>
            <w:rFonts w:ascii="Cambria Math" w:hAnsi="Cambria Math"/>
            <w:sz w:val="24"/>
            <w:szCs w:val="24"/>
          </w:rPr>
          <m:t>]   [</m:t>
        </m:r>
        <m:sSup>
          <m:sSupPr>
            <m:ctrlPr>
              <w:rPr>
                <w:rFonts w:ascii="Cambria Math" w:hAnsi="Cambria Math"/>
                <w:bCs/>
                <w:i/>
                <w:sz w:val="24"/>
                <w:szCs w:val="24"/>
              </w:rPr>
            </m:ctrlPr>
          </m:sSupPr>
          <m:e>
            <m:r>
              <w:rPr>
                <w:rFonts w:ascii="Cambria Math" w:hAnsi="Cambria Math"/>
                <w:sz w:val="24"/>
                <w:szCs w:val="24"/>
              </w:rPr>
              <m:t>-1.708</m:t>
            </m:r>
          </m:e>
          <m:sup>
            <m:r>
              <w:rPr>
                <w:rFonts w:ascii="Cambria Math" w:hAnsi="Cambria Math"/>
                <w:sz w:val="24"/>
                <w:szCs w:val="24"/>
              </w:rPr>
              <m:t>*</m:t>
            </m:r>
          </m:sup>
        </m:sSup>
        <m:r>
          <w:rPr>
            <w:rFonts w:ascii="Cambria Math" w:hAnsi="Cambria Math"/>
            <w:sz w:val="24"/>
            <w:szCs w:val="24"/>
          </w:rPr>
          <m:t>]          [</m:t>
        </m:r>
        <m:sSup>
          <m:sSupPr>
            <m:ctrlPr>
              <w:rPr>
                <w:rFonts w:ascii="Cambria Math" w:hAnsi="Cambria Math"/>
                <w:bCs/>
                <w:i/>
                <w:sz w:val="24"/>
                <w:szCs w:val="24"/>
              </w:rPr>
            </m:ctrlPr>
          </m:sSupPr>
          <m:e>
            <m:r>
              <w:rPr>
                <w:rFonts w:ascii="Cambria Math" w:hAnsi="Cambria Math"/>
                <w:sz w:val="24"/>
                <w:szCs w:val="24"/>
              </w:rPr>
              <m:t>-3.305</m:t>
            </m:r>
          </m:e>
          <m:sup>
            <m:r>
              <w:rPr>
                <w:rFonts w:ascii="Cambria Math" w:hAnsi="Cambria Math"/>
                <w:sz w:val="24"/>
                <w:szCs w:val="24"/>
              </w:rPr>
              <m:t>***</m:t>
            </m:r>
          </m:sup>
        </m:sSup>
        <m:r>
          <w:rPr>
            <w:rFonts w:ascii="Cambria Math" w:hAnsi="Cambria Math"/>
            <w:sz w:val="24"/>
            <w:szCs w:val="24"/>
          </w:rPr>
          <m:t>]</m:t>
        </m:r>
      </m:oMath>
      <w:r w:rsidRPr="00EE1D63">
        <w:rPr>
          <w:rFonts w:ascii="Times New Roman" w:eastAsiaTheme="minorEastAsia" w:hAnsi="Times New Roman"/>
          <w:bCs/>
          <w:sz w:val="24"/>
          <w:szCs w:val="24"/>
        </w:rPr>
        <w:t xml:space="preserve"> </w:t>
      </w:r>
    </w:p>
    <w:p w:rsidR="00EE1D63" w:rsidRPr="00EE1D63" w:rsidRDefault="00EE1D63" w:rsidP="00EE1D63">
      <w:pPr>
        <w:tabs>
          <w:tab w:val="left" w:pos="1500"/>
        </w:tabs>
        <w:spacing w:after="0" w:line="480" w:lineRule="auto"/>
        <w:jc w:val="both"/>
        <w:rPr>
          <w:rFonts w:ascii="Cambria Math" w:hAnsi="Cambria Math"/>
          <w:sz w:val="24"/>
          <w:szCs w:val="24"/>
          <w:oMath/>
        </w:rPr>
      </w:pPr>
      <m:oMath>
        <m:r>
          <w:rPr>
            <w:rFonts w:ascii="Cambria Math" w:hAnsi="Cambria Math"/>
            <w:sz w:val="24"/>
            <w:szCs w:val="24"/>
          </w:rPr>
          <m:t>∆ln</m:t>
        </m:r>
        <m:sSub>
          <m:sSubPr>
            <m:ctrlPr>
              <w:rPr>
                <w:rFonts w:ascii="Cambria Math" w:hAnsi="Cambria Math"/>
                <w:bCs/>
                <w:i/>
                <w:sz w:val="24"/>
                <w:szCs w:val="24"/>
              </w:rPr>
            </m:ctrlPr>
          </m:sSubPr>
          <m:e>
            <m:r>
              <w:rPr>
                <w:rFonts w:ascii="Cambria Math" w:hAnsi="Cambria Math"/>
                <w:sz w:val="24"/>
                <w:szCs w:val="24"/>
              </w:rPr>
              <m:t>REER</m:t>
            </m:r>
          </m:e>
          <m:sub>
            <m:r>
              <w:rPr>
                <w:rFonts w:ascii="Cambria Math" w:hAnsi="Cambria Math"/>
                <w:sz w:val="24"/>
                <w:szCs w:val="24"/>
              </w:rPr>
              <m:t>t</m:t>
            </m:r>
          </m:sub>
        </m:sSub>
        <m:r>
          <w:rPr>
            <w:rFonts w:ascii="Cambria Math" w:hAnsi="Cambria Math"/>
            <w:sz w:val="24"/>
            <w:szCs w:val="24"/>
          </w:rPr>
          <m:t xml:space="preserve"> = -.295</m:t>
        </m:r>
        <m:sSub>
          <m:sSubPr>
            <m:ctrlPr>
              <w:rPr>
                <w:rFonts w:ascii="Cambria Math" w:hAnsi="Cambria Math"/>
                <w:bCs/>
                <w:i/>
                <w:sz w:val="24"/>
                <w:szCs w:val="24"/>
              </w:rPr>
            </m:ctrlPr>
          </m:sSubPr>
          <m:e>
            <m:r>
              <w:rPr>
                <w:rFonts w:ascii="Cambria Math" w:hAnsi="Cambria Math"/>
                <w:sz w:val="24"/>
                <w:szCs w:val="24"/>
              </w:rPr>
              <m:t>ECM</m:t>
            </m:r>
          </m:e>
          <m:sub>
            <m:r>
              <w:rPr>
                <w:rFonts w:ascii="Cambria Math" w:hAnsi="Cambria Math"/>
                <w:sz w:val="24"/>
                <w:szCs w:val="24"/>
              </w:rPr>
              <m:t>t-1</m:t>
            </m:r>
          </m:sub>
        </m:sSub>
        <m:r>
          <w:rPr>
            <w:rFonts w:ascii="Cambria Math" w:hAnsi="Cambria Math"/>
            <w:sz w:val="24"/>
            <w:szCs w:val="24"/>
          </w:rPr>
          <m:t>-.088∆ln</m:t>
        </m:r>
        <m:sSub>
          <m:sSubPr>
            <m:ctrlPr>
              <w:rPr>
                <w:rFonts w:ascii="Cambria Math" w:hAnsi="Cambria Math"/>
                <w:bCs/>
                <w:i/>
                <w:sz w:val="24"/>
                <w:szCs w:val="24"/>
              </w:rPr>
            </m:ctrlPr>
          </m:sSubPr>
          <m:e>
            <m:r>
              <w:rPr>
                <w:rFonts w:ascii="Cambria Math" w:hAnsi="Cambria Math"/>
                <w:sz w:val="24"/>
                <w:szCs w:val="24"/>
              </w:rPr>
              <m:t>OPEN</m:t>
            </m:r>
          </m:e>
          <m:sub>
            <m:r>
              <w:rPr>
                <w:rFonts w:ascii="Cambria Math" w:hAnsi="Cambria Math"/>
                <w:sz w:val="24"/>
                <w:szCs w:val="24"/>
              </w:rPr>
              <m:t>t</m:t>
            </m:r>
          </m:sub>
        </m:sSub>
        <m:r>
          <w:rPr>
            <w:rFonts w:ascii="Cambria Math" w:hAnsi="Cambria Math"/>
            <w:sz w:val="24"/>
            <w:szCs w:val="24"/>
          </w:rPr>
          <m:t>-.069∆ln</m:t>
        </m:r>
        <m:sSub>
          <m:sSubPr>
            <m:ctrlPr>
              <w:rPr>
                <w:rFonts w:ascii="Cambria Math" w:hAnsi="Cambria Math"/>
                <w:bCs/>
                <w:i/>
                <w:sz w:val="24"/>
                <w:szCs w:val="24"/>
              </w:rPr>
            </m:ctrlPr>
          </m:sSubPr>
          <m:e>
            <m:r>
              <w:rPr>
                <w:rFonts w:ascii="Cambria Math" w:hAnsi="Cambria Math"/>
                <w:sz w:val="24"/>
                <w:szCs w:val="24"/>
              </w:rPr>
              <m:t>TOT</m:t>
            </m:r>
          </m:e>
          <m:sub>
            <m:r>
              <w:rPr>
                <w:rFonts w:ascii="Cambria Math" w:hAnsi="Cambria Math"/>
                <w:sz w:val="24"/>
                <w:szCs w:val="24"/>
              </w:rPr>
              <m:t>t</m:t>
            </m:r>
          </m:sub>
        </m:sSub>
        <m:r>
          <w:rPr>
            <w:rFonts w:ascii="Cambria Math" w:hAnsi="Cambria Math"/>
            <w:sz w:val="24"/>
            <w:szCs w:val="24"/>
          </w:rPr>
          <m:t>+.131∆ln</m:t>
        </m:r>
        <m:sSub>
          <m:sSubPr>
            <m:ctrlPr>
              <w:rPr>
                <w:rFonts w:ascii="Cambria Math" w:hAnsi="Cambria Math"/>
                <w:bCs/>
                <w:i/>
                <w:sz w:val="24"/>
                <w:szCs w:val="24"/>
              </w:rPr>
            </m:ctrlPr>
          </m:sSubPr>
          <m:e>
            <m:r>
              <w:rPr>
                <w:rFonts w:ascii="Cambria Math" w:hAnsi="Cambria Math"/>
                <w:sz w:val="24"/>
                <w:szCs w:val="24"/>
              </w:rPr>
              <m:t>TOT</m:t>
            </m:r>
          </m:e>
          <m:sub>
            <m:r>
              <w:rPr>
                <w:rFonts w:ascii="Cambria Math" w:hAnsi="Cambria Math"/>
                <w:sz w:val="24"/>
                <w:szCs w:val="24"/>
              </w:rPr>
              <m:t>t-1</m:t>
            </m:r>
          </m:sub>
        </m:sSub>
      </m:oMath>
      <w:r w:rsidRPr="00EE1D63">
        <w:rPr>
          <w:rFonts w:ascii="Times New Roman" w:eastAsiaTheme="minorEastAsia" w:hAnsi="Times New Roman"/>
          <w:bCs/>
          <w:sz w:val="24"/>
          <w:szCs w:val="24"/>
        </w:rPr>
        <w:t xml:space="preserve">               (4)</w:t>
      </w:r>
    </w:p>
    <w:p w:rsidR="00EE1D63" w:rsidRPr="00EE1D63" w:rsidRDefault="00EE1D63" w:rsidP="00EE1D63">
      <w:pPr>
        <w:tabs>
          <w:tab w:val="left" w:pos="1500"/>
        </w:tabs>
        <w:autoSpaceDE w:val="0"/>
        <w:autoSpaceDN w:val="0"/>
        <w:adjustRightInd w:val="0"/>
        <w:spacing w:line="480" w:lineRule="auto"/>
        <w:jc w:val="both"/>
        <w:rPr>
          <w:rFonts w:ascii="Times New Roman" w:eastAsia="Times New Roman" w:hAnsi="Times New Roman"/>
          <w:bCs/>
          <w:sz w:val="24"/>
          <w:szCs w:val="24"/>
        </w:rPr>
      </w:pPr>
      <m:oMathPara>
        <m:oMathParaPr>
          <m:jc m:val="left"/>
        </m:oMathParaPr>
        <m:oMath>
          <m:r>
            <w:rPr>
              <w:rFonts w:ascii="Cambria Math" w:hAnsi="Cambria Math"/>
              <w:sz w:val="24"/>
              <w:szCs w:val="24"/>
            </w:rPr>
            <m:t xml:space="preserve">                            [</m:t>
          </m:r>
          <m:sSup>
            <m:sSupPr>
              <m:ctrlPr>
                <w:rPr>
                  <w:rFonts w:ascii="Cambria Math" w:hAnsi="Cambria Math"/>
                  <w:bCs/>
                  <w:i/>
                  <w:sz w:val="24"/>
                  <w:szCs w:val="24"/>
                </w:rPr>
              </m:ctrlPr>
            </m:sSupPr>
            <m:e>
              <m:r>
                <w:rPr>
                  <w:rFonts w:ascii="Cambria Math" w:hAnsi="Cambria Math"/>
                  <w:sz w:val="24"/>
                  <w:szCs w:val="24"/>
                </w:rPr>
                <m:t>-3.342</m:t>
              </m:r>
            </m:e>
            <m:sup>
              <m:r>
                <w:rPr>
                  <w:rFonts w:ascii="Cambria Math" w:hAnsi="Cambria Math"/>
                  <w:sz w:val="24"/>
                  <w:szCs w:val="24"/>
                </w:rPr>
                <m:t>***</m:t>
              </m:r>
            </m:sup>
          </m:sSup>
          <m:r>
            <w:rPr>
              <w:rFonts w:ascii="Cambria Math" w:hAnsi="Cambria Math"/>
              <w:sz w:val="24"/>
              <w:szCs w:val="24"/>
            </w:rPr>
            <m:t>]      [</m:t>
          </m:r>
          <m:sSup>
            <m:sSupPr>
              <m:ctrlPr>
                <w:rPr>
                  <w:rFonts w:ascii="Cambria Math" w:hAnsi="Cambria Math"/>
                  <w:bCs/>
                  <w:i/>
                  <w:sz w:val="24"/>
                  <w:szCs w:val="24"/>
                </w:rPr>
              </m:ctrlPr>
            </m:sSupPr>
            <m:e>
              <m:r>
                <w:rPr>
                  <w:rFonts w:ascii="Cambria Math" w:hAnsi="Cambria Math"/>
                  <w:sz w:val="24"/>
                  <w:szCs w:val="24"/>
                </w:rPr>
                <m:t>-1.929</m:t>
              </m:r>
            </m:e>
            <m:sup>
              <m:r>
                <w:rPr>
                  <w:rFonts w:ascii="Cambria Math" w:hAnsi="Cambria Math"/>
                  <w:sz w:val="24"/>
                  <w:szCs w:val="24"/>
                </w:rPr>
                <m:t>*</m:t>
              </m:r>
            </m:sup>
          </m:sSup>
          <m:r>
            <w:rPr>
              <w:rFonts w:ascii="Cambria Math" w:hAnsi="Cambria Math"/>
              <w:sz w:val="24"/>
              <w:szCs w:val="24"/>
            </w:rPr>
            <m:t>]              [-1.637]                [</m:t>
          </m:r>
          <m:sSup>
            <m:sSupPr>
              <m:ctrlPr>
                <w:rPr>
                  <w:rFonts w:ascii="Cambria Math" w:hAnsi="Cambria Math"/>
                  <w:bCs/>
                  <w:i/>
                  <w:sz w:val="24"/>
                  <w:szCs w:val="24"/>
                </w:rPr>
              </m:ctrlPr>
            </m:sSupPr>
            <m:e>
              <m:r>
                <w:rPr>
                  <w:rFonts w:ascii="Cambria Math" w:hAnsi="Cambria Math"/>
                  <w:sz w:val="24"/>
                  <w:szCs w:val="24"/>
                </w:rPr>
                <m:t>2.893</m:t>
              </m:r>
            </m:e>
            <m:sup>
              <m:r>
                <w:rPr>
                  <w:rFonts w:ascii="Cambria Math" w:hAnsi="Cambria Math"/>
                  <w:sz w:val="24"/>
                  <w:szCs w:val="24"/>
                </w:rPr>
                <m:t>***</m:t>
              </m:r>
            </m:sup>
          </m:sSup>
          <m:r>
            <w:rPr>
              <w:rFonts w:ascii="Cambria Math" w:hAnsi="Cambria Math"/>
              <w:sz w:val="24"/>
              <w:szCs w:val="24"/>
            </w:rPr>
            <m:t>]</m:t>
          </m:r>
        </m:oMath>
      </m:oMathPara>
    </w:p>
    <w:p w:rsidR="00EE1D63" w:rsidRPr="00EE1D63" w:rsidRDefault="00EE1D63" w:rsidP="00EE1D63">
      <w:pPr>
        <w:tabs>
          <w:tab w:val="left" w:pos="1500"/>
        </w:tabs>
        <w:autoSpaceDE w:val="0"/>
        <w:autoSpaceDN w:val="0"/>
        <w:adjustRightInd w:val="0"/>
        <w:spacing w:line="480" w:lineRule="auto"/>
        <w:jc w:val="both"/>
        <w:rPr>
          <w:rFonts w:ascii="Times New Roman" w:eastAsia="Times New Roman" w:hAnsi="Times New Roman"/>
          <w:bCs/>
          <w:sz w:val="24"/>
          <w:szCs w:val="24"/>
        </w:rPr>
      </w:pPr>
      <w:r w:rsidRPr="00EE1D63">
        <w:rPr>
          <w:rFonts w:ascii="Times New Roman" w:eastAsia="Times New Roman" w:hAnsi="Times New Roman"/>
          <w:bCs/>
          <w:sz w:val="24"/>
          <w:szCs w:val="24"/>
        </w:rPr>
        <w:lastRenderedPageBreak/>
        <w:t>In each case, the real exchange rate is regressed on trade openness and terms of trade. Terms of trade and trade openness are the only significant determinants of the equilibrium real exchange rate in Botswana. The results passed all the diagnostic tests, namely: Serial correlation, normality, heteroskedasticity, and the specification of the correct functional form. The parameters of the models are structurally stable as well. The stability tests are: (</w:t>
      </w:r>
      <w:proofErr w:type="spellStart"/>
      <w:r w:rsidRPr="00EE1D63">
        <w:rPr>
          <w:rFonts w:ascii="Times New Roman" w:eastAsia="Times New Roman" w:hAnsi="Times New Roman"/>
          <w:bCs/>
          <w:sz w:val="24"/>
          <w:szCs w:val="24"/>
        </w:rPr>
        <w:t>i</w:t>
      </w:r>
      <w:proofErr w:type="spellEnd"/>
      <w:r w:rsidRPr="00EE1D63">
        <w:rPr>
          <w:rFonts w:ascii="Times New Roman" w:eastAsia="Times New Roman" w:hAnsi="Times New Roman"/>
          <w:bCs/>
          <w:sz w:val="24"/>
          <w:szCs w:val="24"/>
        </w:rPr>
        <w:t xml:space="preserve">) The cumulative sum of the recursive residuals (CUSUM); and (ii) the cumulative sum of the squares of recursive residuals (CUSUMSQ), as proposed by Brown </w:t>
      </w:r>
      <w:r w:rsidRPr="00EE1D63">
        <w:rPr>
          <w:rFonts w:ascii="Times New Roman" w:eastAsia="Times New Roman" w:hAnsi="Times New Roman"/>
          <w:bCs/>
          <w:i/>
          <w:iCs/>
          <w:sz w:val="24"/>
          <w:szCs w:val="24"/>
        </w:rPr>
        <w:t>et al.</w:t>
      </w:r>
      <w:r w:rsidRPr="00EE1D63">
        <w:rPr>
          <w:rFonts w:ascii="Times New Roman" w:eastAsia="Times New Roman" w:hAnsi="Times New Roman"/>
          <w:bCs/>
          <w:sz w:val="24"/>
          <w:szCs w:val="24"/>
        </w:rPr>
        <w:t xml:space="preserve"> (1975). Figures 1 and 2 </w:t>
      </w:r>
      <w:proofErr w:type="gramStart"/>
      <w:r w:rsidRPr="00EE1D63">
        <w:rPr>
          <w:rFonts w:ascii="Times New Roman" w:eastAsia="Times New Roman" w:hAnsi="Times New Roman"/>
          <w:bCs/>
          <w:sz w:val="24"/>
          <w:szCs w:val="24"/>
        </w:rPr>
        <w:t>show</w:t>
      </w:r>
      <w:proofErr w:type="gramEnd"/>
      <w:r w:rsidRPr="00EE1D63">
        <w:rPr>
          <w:rFonts w:ascii="Times New Roman" w:eastAsia="Times New Roman" w:hAnsi="Times New Roman"/>
          <w:bCs/>
          <w:sz w:val="24"/>
          <w:szCs w:val="24"/>
        </w:rPr>
        <w:t xml:space="preserve"> the plotted graphs of CUSUM and CUSUMSQ, respectively.</w:t>
      </w:r>
    </w:p>
    <w:p w:rsidR="00EE1D63" w:rsidRPr="00EE1D63" w:rsidRDefault="00EE1D63" w:rsidP="00EE1D63">
      <w:pPr>
        <w:tabs>
          <w:tab w:val="left" w:pos="1500"/>
        </w:tabs>
        <w:autoSpaceDE w:val="0"/>
        <w:autoSpaceDN w:val="0"/>
        <w:adjustRightInd w:val="0"/>
        <w:spacing w:line="480" w:lineRule="auto"/>
        <w:jc w:val="both"/>
        <w:rPr>
          <w:rFonts w:ascii="Times New Roman" w:eastAsia="Times New Roman" w:hAnsi="Times New Roman"/>
          <w:bCs/>
          <w:sz w:val="24"/>
          <w:szCs w:val="24"/>
        </w:rPr>
      </w:pPr>
      <w:r w:rsidRPr="00EE1D63">
        <w:rPr>
          <w:rFonts w:ascii="Times New Roman" w:eastAsia="Times New Roman" w:hAnsi="Times New Roman"/>
          <w:bCs/>
          <w:sz w:val="24"/>
          <w:szCs w:val="24"/>
        </w:rPr>
        <w:t>The results show that a 1 per cent increment in trade openness results in approximately 0.30 per cent depreciation in the real exchange rate in the long run, given that the terms of trade remains constant.</w:t>
      </w:r>
      <w:r w:rsidRPr="00EE1D63">
        <w:rPr>
          <w:rFonts w:ascii="Times New Roman" w:eastAsia="Times New Roman" w:hAnsi="Times New Roman"/>
          <w:bCs/>
          <w:sz w:val="24"/>
          <w:szCs w:val="24"/>
          <w:vertAlign w:val="superscript"/>
        </w:rPr>
        <w:footnoteReference w:id="12"/>
      </w:r>
      <w:r w:rsidRPr="00EE1D63">
        <w:rPr>
          <w:rFonts w:ascii="Times New Roman" w:eastAsia="Times New Roman" w:hAnsi="Times New Roman"/>
          <w:bCs/>
          <w:sz w:val="24"/>
          <w:szCs w:val="24"/>
        </w:rPr>
        <w:t xml:space="preserve"> In addition, we found that an increment in terms of trade by 1 per cent leads to a depreciation of the real exchange rate by 0.43 per cent in the long-run, given that trade openness remains the constant.</w:t>
      </w:r>
      <w:r w:rsidRPr="00EE1D63">
        <w:rPr>
          <w:rFonts w:ascii="Times New Roman" w:eastAsia="Times New Roman" w:hAnsi="Times New Roman"/>
          <w:bCs/>
          <w:sz w:val="24"/>
          <w:szCs w:val="24"/>
          <w:vertAlign w:val="superscript"/>
        </w:rPr>
        <w:footnoteReference w:id="13"/>
      </w:r>
      <w:r w:rsidRPr="00EE1D63">
        <w:rPr>
          <w:rFonts w:ascii="Times New Roman" w:eastAsia="Times New Roman" w:hAnsi="Times New Roman"/>
          <w:bCs/>
          <w:sz w:val="24"/>
          <w:szCs w:val="24"/>
        </w:rPr>
        <w:t xml:space="preserve"> Finally, the results show that approximately 29.5 per cent of the disequilibrium is corrected each year. The speed of adjustment, when the real exchange rate, trade openness, and the terms of trade variables drift apart was considerably slow.</w:t>
      </w:r>
    </w:p>
    <w:p w:rsidR="00EE1D63" w:rsidRPr="00EE1D63" w:rsidRDefault="00EE1D63" w:rsidP="00EE1D63">
      <w:pPr>
        <w:tabs>
          <w:tab w:val="left" w:pos="1500"/>
        </w:tabs>
        <w:autoSpaceDE w:val="0"/>
        <w:autoSpaceDN w:val="0"/>
        <w:adjustRightInd w:val="0"/>
        <w:spacing w:line="480" w:lineRule="auto"/>
        <w:jc w:val="both"/>
        <w:rPr>
          <w:rFonts w:ascii="Times New Roman" w:eastAsia="Times New Roman" w:hAnsi="Times New Roman"/>
          <w:bCs/>
          <w:sz w:val="24"/>
          <w:szCs w:val="24"/>
        </w:rPr>
      </w:pPr>
    </w:p>
    <w:p w:rsidR="00EE1D63" w:rsidRPr="00EE1D63" w:rsidRDefault="00EE1D63" w:rsidP="00EE1D63">
      <w:pPr>
        <w:tabs>
          <w:tab w:val="left" w:pos="1500"/>
        </w:tabs>
        <w:autoSpaceDE w:val="0"/>
        <w:autoSpaceDN w:val="0"/>
        <w:adjustRightInd w:val="0"/>
        <w:spacing w:line="480" w:lineRule="auto"/>
        <w:jc w:val="both"/>
        <w:rPr>
          <w:rFonts w:ascii="Times New Roman" w:eastAsia="Times New Roman" w:hAnsi="Times New Roman"/>
          <w:bCs/>
          <w:sz w:val="24"/>
          <w:szCs w:val="24"/>
        </w:rPr>
      </w:pPr>
    </w:p>
    <w:p w:rsidR="00EE1D63" w:rsidRPr="00EE1D63" w:rsidRDefault="00EE1D63" w:rsidP="00EE1D63">
      <w:pPr>
        <w:tabs>
          <w:tab w:val="left" w:pos="1500"/>
        </w:tabs>
        <w:autoSpaceDE w:val="0"/>
        <w:autoSpaceDN w:val="0"/>
        <w:adjustRightInd w:val="0"/>
        <w:spacing w:line="480" w:lineRule="auto"/>
        <w:jc w:val="both"/>
        <w:rPr>
          <w:rFonts w:ascii="Times New Roman" w:eastAsia="Times New Roman" w:hAnsi="Times New Roman"/>
          <w:bCs/>
          <w:sz w:val="24"/>
          <w:szCs w:val="24"/>
        </w:rPr>
      </w:pPr>
    </w:p>
    <w:p w:rsidR="00EE1D63" w:rsidRPr="00EE1D63" w:rsidRDefault="00EE1D63" w:rsidP="00EE1D63">
      <w:pPr>
        <w:tabs>
          <w:tab w:val="left" w:pos="1500"/>
        </w:tabs>
        <w:spacing w:after="0" w:line="360" w:lineRule="auto"/>
        <w:jc w:val="both"/>
        <w:rPr>
          <w:rFonts w:asciiTheme="majorBidi" w:hAnsiTheme="majorBidi" w:cstheme="majorBidi"/>
          <w:sz w:val="24"/>
          <w:szCs w:val="24"/>
        </w:rPr>
      </w:pPr>
      <w:r w:rsidRPr="00EE1D63">
        <w:rPr>
          <w:rFonts w:asciiTheme="majorBidi" w:hAnsiTheme="majorBidi" w:cstheme="majorBidi"/>
          <w:b/>
          <w:bCs/>
          <w:sz w:val="24"/>
          <w:szCs w:val="24"/>
        </w:rPr>
        <w:lastRenderedPageBreak/>
        <w:t>Figure 1:</w:t>
      </w:r>
      <w:r w:rsidRPr="00EE1D63">
        <w:rPr>
          <w:rFonts w:asciiTheme="majorBidi" w:hAnsiTheme="majorBidi" w:cstheme="majorBidi"/>
          <w:sz w:val="24"/>
          <w:szCs w:val="24"/>
        </w:rPr>
        <w:t xml:space="preserve"> Plot of Cumulative Sum of Recursive Residuals (CUSUM)</w:t>
      </w:r>
    </w:p>
    <w:p w:rsidR="00EE1D63" w:rsidRPr="00EE1D63" w:rsidRDefault="00EE1D63" w:rsidP="00EE1D63">
      <w:pPr>
        <w:tabs>
          <w:tab w:val="left" w:pos="1500"/>
        </w:tabs>
        <w:spacing w:after="0" w:line="360" w:lineRule="auto"/>
        <w:jc w:val="both"/>
        <w:rPr>
          <w:rFonts w:asciiTheme="majorBidi" w:hAnsiTheme="majorBidi" w:cstheme="majorBidi"/>
          <w:sz w:val="20"/>
          <w:szCs w:val="20"/>
        </w:rPr>
      </w:pPr>
      <w:r w:rsidRPr="00EE1D63">
        <w:rPr>
          <w:rFonts w:asciiTheme="majorBidi" w:hAnsiTheme="majorBidi" w:cstheme="majorBidi"/>
          <w:noProof/>
          <w:sz w:val="20"/>
          <w:szCs w:val="20"/>
          <w:lang w:val="en-ZA" w:eastAsia="en-ZA" w:bidi="he-IL"/>
        </w:rPr>
        <w:drawing>
          <wp:inline distT="0" distB="0" distL="0" distR="0" wp14:anchorId="08F7804F" wp14:editId="1A021D96">
            <wp:extent cx="5943600" cy="33411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341184"/>
                    </a:xfrm>
                    <a:prstGeom prst="rect">
                      <a:avLst/>
                    </a:prstGeom>
                    <a:noFill/>
                    <a:ln>
                      <a:noFill/>
                    </a:ln>
                  </pic:spPr>
                </pic:pic>
              </a:graphicData>
            </a:graphic>
          </wp:inline>
        </w:drawing>
      </w:r>
    </w:p>
    <w:p w:rsidR="00EE1D63" w:rsidRPr="00EE1D63" w:rsidRDefault="00EE1D63" w:rsidP="00EE1D63">
      <w:pPr>
        <w:tabs>
          <w:tab w:val="left" w:pos="1500"/>
        </w:tabs>
        <w:spacing w:after="0" w:line="360" w:lineRule="auto"/>
        <w:jc w:val="both"/>
        <w:rPr>
          <w:rFonts w:asciiTheme="majorBidi" w:hAnsiTheme="majorBidi" w:cstheme="majorBidi"/>
          <w:b/>
          <w:bCs/>
          <w:sz w:val="24"/>
          <w:szCs w:val="24"/>
        </w:rPr>
      </w:pPr>
    </w:p>
    <w:p w:rsidR="00EE1D63" w:rsidRPr="00EE1D63" w:rsidRDefault="00EE1D63" w:rsidP="00EE1D63">
      <w:pPr>
        <w:tabs>
          <w:tab w:val="left" w:pos="1500"/>
        </w:tabs>
        <w:spacing w:after="0" w:line="360" w:lineRule="auto"/>
        <w:jc w:val="both"/>
        <w:rPr>
          <w:rFonts w:asciiTheme="majorBidi" w:hAnsiTheme="majorBidi" w:cstheme="majorBidi"/>
          <w:b/>
          <w:bCs/>
          <w:sz w:val="24"/>
          <w:szCs w:val="24"/>
        </w:rPr>
      </w:pPr>
    </w:p>
    <w:p w:rsidR="00EE1D63" w:rsidRPr="00EE1D63" w:rsidRDefault="00EE1D63" w:rsidP="00EE1D63">
      <w:pPr>
        <w:tabs>
          <w:tab w:val="left" w:pos="1500"/>
        </w:tabs>
        <w:spacing w:after="0" w:line="360" w:lineRule="auto"/>
        <w:jc w:val="both"/>
        <w:rPr>
          <w:rFonts w:asciiTheme="majorBidi" w:hAnsiTheme="majorBidi" w:cstheme="majorBidi"/>
          <w:sz w:val="24"/>
          <w:szCs w:val="24"/>
        </w:rPr>
      </w:pPr>
      <w:r w:rsidRPr="00EE1D63">
        <w:rPr>
          <w:rFonts w:asciiTheme="majorBidi" w:hAnsiTheme="majorBidi" w:cstheme="majorBidi"/>
          <w:b/>
          <w:bCs/>
          <w:sz w:val="24"/>
          <w:szCs w:val="24"/>
        </w:rPr>
        <w:t>Figure 2:</w:t>
      </w:r>
      <w:r w:rsidRPr="00EE1D63">
        <w:rPr>
          <w:rFonts w:asciiTheme="majorBidi" w:hAnsiTheme="majorBidi" w:cstheme="majorBidi"/>
          <w:sz w:val="24"/>
          <w:szCs w:val="24"/>
        </w:rPr>
        <w:t xml:space="preserve"> Plot of Cumulative Sum of Squares of Recursive Residuals (CUSUMSQ)</w:t>
      </w:r>
    </w:p>
    <w:p w:rsidR="00EE1D63" w:rsidRPr="00EE1D63" w:rsidRDefault="00EE1D63" w:rsidP="00EE1D63">
      <w:pPr>
        <w:tabs>
          <w:tab w:val="left" w:pos="1500"/>
        </w:tabs>
        <w:spacing w:after="0" w:line="360" w:lineRule="auto"/>
        <w:jc w:val="both"/>
        <w:rPr>
          <w:rFonts w:asciiTheme="majorBidi" w:hAnsiTheme="majorBidi" w:cstheme="majorBidi"/>
          <w:sz w:val="20"/>
          <w:szCs w:val="20"/>
        </w:rPr>
      </w:pPr>
      <w:r w:rsidRPr="00EE1D63">
        <w:rPr>
          <w:rFonts w:asciiTheme="majorBidi" w:hAnsiTheme="majorBidi" w:cstheme="majorBidi"/>
          <w:noProof/>
          <w:sz w:val="20"/>
          <w:szCs w:val="20"/>
          <w:lang w:val="en-ZA" w:eastAsia="en-ZA" w:bidi="he-IL"/>
        </w:rPr>
        <w:drawing>
          <wp:inline distT="0" distB="0" distL="0" distR="0" wp14:anchorId="5C6E1240" wp14:editId="05BF1B03">
            <wp:extent cx="5943600" cy="33411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341184"/>
                    </a:xfrm>
                    <a:prstGeom prst="rect">
                      <a:avLst/>
                    </a:prstGeom>
                    <a:noFill/>
                    <a:ln>
                      <a:noFill/>
                    </a:ln>
                  </pic:spPr>
                </pic:pic>
              </a:graphicData>
            </a:graphic>
          </wp:inline>
        </w:drawing>
      </w:r>
    </w:p>
    <w:p w:rsidR="00EE1D63" w:rsidRPr="00EE1D63" w:rsidRDefault="00EE1D63" w:rsidP="00EE1D63">
      <w:pPr>
        <w:tabs>
          <w:tab w:val="left" w:pos="1500"/>
        </w:tabs>
        <w:autoSpaceDE w:val="0"/>
        <w:autoSpaceDN w:val="0"/>
        <w:adjustRightInd w:val="0"/>
        <w:spacing w:line="480" w:lineRule="auto"/>
        <w:jc w:val="both"/>
        <w:rPr>
          <w:rFonts w:ascii="Times New Roman" w:eastAsia="Times New Roman" w:hAnsi="Times New Roman"/>
          <w:bCs/>
          <w:sz w:val="24"/>
          <w:szCs w:val="24"/>
        </w:rPr>
      </w:pPr>
      <w:r w:rsidRPr="00EE1D63">
        <w:rPr>
          <w:rFonts w:ascii="Times New Roman" w:eastAsia="Times New Roman" w:hAnsi="Times New Roman"/>
          <w:bCs/>
          <w:sz w:val="24"/>
          <w:szCs w:val="24"/>
        </w:rPr>
        <w:lastRenderedPageBreak/>
        <w:t xml:space="preserve">We therefore calculated the equilibrium real exchange rate for Botswana defined as the measure of real exchange rate that is consistent with the long-run values of the determinants. To neutralize the effects of noise or the cyclical components of trade openness and the terms of trade on the estimated equilibrium real exchange rate, we employed the </w:t>
      </w:r>
      <w:proofErr w:type="spellStart"/>
      <w:r w:rsidRPr="00EE1D63">
        <w:rPr>
          <w:rFonts w:ascii="Times New Roman" w:eastAsia="Times New Roman" w:hAnsi="Times New Roman"/>
          <w:bCs/>
          <w:sz w:val="24"/>
          <w:szCs w:val="24"/>
        </w:rPr>
        <w:t>Hodrick</w:t>
      </w:r>
      <w:proofErr w:type="spellEnd"/>
      <w:r w:rsidRPr="00EE1D63">
        <w:rPr>
          <w:rFonts w:ascii="Times New Roman" w:eastAsia="Times New Roman" w:hAnsi="Times New Roman"/>
          <w:bCs/>
          <w:sz w:val="24"/>
          <w:szCs w:val="24"/>
        </w:rPr>
        <w:t>-Prescott (HP) filter</w:t>
      </w:r>
      <w:r w:rsidRPr="00EE1D63">
        <w:rPr>
          <w:rFonts w:ascii="Times New Roman" w:eastAsia="Times New Roman" w:hAnsi="Times New Roman"/>
          <w:bCs/>
          <w:sz w:val="24"/>
          <w:szCs w:val="24"/>
          <w:vertAlign w:val="superscript"/>
        </w:rPr>
        <w:footnoteReference w:id="14"/>
      </w:r>
      <w:r w:rsidRPr="00EE1D63">
        <w:rPr>
          <w:rFonts w:ascii="Times New Roman" w:eastAsia="Times New Roman" w:hAnsi="Times New Roman"/>
          <w:bCs/>
          <w:sz w:val="24"/>
          <w:szCs w:val="24"/>
        </w:rPr>
        <w:t xml:space="preserve"> time series decomposition technique was employed.</w:t>
      </w:r>
    </w:p>
    <w:p w:rsidR="00EE1D63" w:rsidRPr="00EE1D63" w:rsidRDefault="00EE1D63" w:rsidP="00EE1D63">
      <w:pPr>
        <w:tabs>
          <w:tab w:val="left" w:pos="1500"/>
        </w:tabs>
        <w:autoSpaceDE w:val="0"/>
        <w:autoSpaceDN w:val="0"/>
        <w:adjustRightInd w:val="0"/>
        <w:spacing w:line="480" w:lineRule="auto"/>
        <w:jc w:val="both"/>
        <w:rPr>
          <w:rFonts w:ascii="Times New Roman" w:eastAsia="Times New Roman" w:hAnsi="Times New Roman"/>
          <w:bCs/>
          <w:sz w:val="24"/>
          <w:szCs w:val="24"/>
        </w:rPr>
      </w:pPr>
      <w:r w:rsidRPr="00EE1D63">
        <w:rPr>
          <w:rFonts w:ascii="Times New Roman" w:eastAsia="Times New Roman" w:hAnsi="Times New Roman"/>
          <w:bCs/>
          <w:sz w:val="24"/>
          <w:szCs w:val="24"/>
        </w:rPr>
        <w:t xml:space="preserve">Figures 3 and 4 show the plotted equilibrium real exchange rate (unfiltered and filtered, respectively) against the actual real exchange rate. The equilibrium gap, defined as the difference between the actual real exchange rate and the filtered equilibrium rate, is plotted in Figure 5. The real exchange rate has drifted from the estimated equilibrium exchange rate for most of the sample period, except between 1986 and 1987, and between 1993 and 1996, as Figure 3 shows. The actual rate was highly misaligned upwards from 1980 to 1986. The real exchange rate also experienced rapid depreciation between 1983 and 1988, and a rapid appreciation between 1998 and 2003 (see Figure 3). </w:t>
      </w:r>
    </w:p>
    <w:p w:rsidR="00EE1D63" w:rsidRPr="00EE1D63" w:rsidRDefault="00EE1D63" w:rsidP="00385C1D">
      <w:pPr>
        <w:tabs>
          <w:tab w:val="left" w:pos="1500"/>
        </w:tabs>
        <w:autoSpaceDE w:val="0"/>
        <w:autoSpaceDN w:val="0"/>
        <w:adjustRightInd w:val="0"/>
        <w:spacing w:after="0" w:line="480" w:lineRule="auto"/>
        <w:jc w:val="both"/>
        <w:rPr>
          <w:rFonts w:ascii="Times New Roman" w:eastAsia="Times New Roman" w:hAnsi="Times New Roman"/>
          <w:bCs/>
          <w:sz w:val="24"/>
          <w:szCs w:val="24"/>
        </w:rPr>
      </w:pPr>
      <w:r w:rsidRPr="00EE1D63">
        <w:rPr>
          <w:rFonts w:ascii="Times New Roman" w:eastAsia="Times New Roman" w:hAnsi="Times New Roman"/>
          <w:bCs/>
          <w:sz w:val="24"/>
          <w:szCs w:val="24"/>
        </w:rPr>
        <w:t>The developments in terms of trade and trade openness were not entirely clear-cut. Thus, it becomes difficult to account for the earlier depreciation (1983-1988), and the latter appreciation (1998-2003). Throughout the sample period, the largest equilibrium gap was recorded in 1984 – a gap of 15 per cent. Again, this gap could not be properly explained by the size of the trade openness or by the terms of trade. In fact, the sizes of these two ratios in 1984 were not the highest recorded during the sample period. We note that 29.5 per cent of the misalignment of the actual real exchange rate from its equilibrium level (i.e. the gap) has been corrected, as pointed out earlier.</w:t>
      </w:r>
    </w:p>
    <w:p w:rsidR="00EE1D63" w:rsidRPr="00EE1D63" w:rsidRDefault="00EE1D63" w:rsidP="00EE1D63">
      <w:pPr>
        <w:tabs>
          <w:tab w:val="left" w:pos="1500"/>
        </w:tabs>
        <w:spacing w:after="0" w:line="360" w:lineRule="auto"/>
        <w:jc w:val="both"/>
        <w:rPr>
          <w:rFonts w:asciiTheme="majorBidi" w:hAnsiTheme="majorBidi" w:cstheme="majorBidi"/>
          <w:noProof/>
          <w:sz w:val="24"/>
          <w:szCs w:val="24"/>
        </w:rPr>
      </w:pPr>
      <w:r w:rsidRPr="00EE1D63">
        <w:rPr>
          <w:rFonts w:asciiTheme="majorBidi" w:hAnsiTheme="majorBidi" w:cstheme="majorBidi"/>
          <w:b/>
          <w:bCs/>
          <w:noProof/>
          <w:sz w:val="24"/>
          <w:szCs w:val="24"/>
        </w:rPr>
        <w:lastRenderedPageBreak/>
        <w:t>Figure 3:</w:t>
      </w:r>
      <w:r w:rsidRPr="00EE1D63">
        <w:rPr>
          <w:rFonts w:asciiTheme="majorBidi" w:hAnsiTheme="majorBidi" w:cstheme="majorBidi"/>
          <w:noProof/>
          <w:sz w:val="24"/>
          <w:szCs w:val="24"/>
        </w:rPr>
        <w:t xml:space="preserve"> Plot of Actual against Equilibrium Exchange Rate</w:t>
      </w:r>
    </w:p>
    <w:p w:rsidR="00EE1D63" w:rsidRPr="00EE1D63" w:rsidRDefault="00EE1D63" w:rsidP="00EE1D63">
      <w:pPr>
        <w:tabs>
          <w:tab w:val="left" w:pos="1500"/>
        </w:tabs>
        <w:spacing w:after="0" w:line="360" w:lineRule="auto"/>
        <w:jc w:val="both"/>
        <w:rPr>
          <w:rFonts w:asciiTheme="majorBidi" w:hAnsiTheme="majorBidi" w:cstheme="majorBidi"/>
          <w:sz w:val="20"/>
          <w:szCs w:val="20"/>
        </w:rPr>
      </w:pPr>
      <w:r w:rsidRPr="00EE1D63">
        <w:rPr>
          <w:rFonts w:asciiTheme="majorBidi" w:hAnsiTheme="majorBidi" w:cstheme="majorBidi"/>
          <w:noProof/>
          <w:sz w:val="20"/>
          <w:szCs w:val="20"/>
          <w:lang w:val="en-ZA" w:eastAsia="en-ZA" w:bidi="he-IL"/>
        </w:rPr>
        <w:drawing>
          <wp:inline distT="0" distB="0" distL="0" distR="0" wp14:anchorId="2C97C4A5" wp14:editId="555FA922">
            <wp:extent cx="5943600" cy="32058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205843"/>
                    </a:xfrm>
                    <a:prstGeom prst="rect">
                      <a:avLst/>
                    </a:prstGeom>
                    <a:noFill/>
                    <a:ln>
                      <a:noFill/>
                    </a:ln>
                  </pic:spPr>
                </pic:pic>
              </a:graphicData>
            </a:graphic>
          </wp:inline>
        </w:drawing>
      </w:r>
    </w:p>
    <w:p w:rsidR="00EE1D63" w:rsidRPr="00EE1D63" w:rsidRDefault="00EE1D63" w:rsidP="00EE1D63">
      <w:pPr>
        <w:tabs>
          <w:tab w:val="left" w:pos="1500"/>
        </w:tabs>
        <w:spacing w:after="0" w:line="360" w:lineRule="auto"/>
        <w:jc w:val="both"/>
        <w:rPr>
          <w:rFonts w:asciiTheme="majorBidi" w:hAnsiTheme="majorBidi" w:cstheme="majorBidi"/>
          <w:b/>
          <w:bCs/>
          <w:noProof/>
          <w:sz w:val="24"/>
          <w:szCs w:val="24"/>
        </w:rPr>
      </w:pPr>
    </w:p>
    <w:p w:rsidR="00EE1D63" w:rsidRPr="00EE1D63" w:rsidRDefault="00EE1D63" w:rsidP="00EE1D63">
      <w:pPr>
        <w:tabs>
          <w:tab w:val="left" w:pos="1500"/>
        </w:tabs>
        <w:spacing w:after="0" w:line="360" w:lineRule="auto"/>
        <w:jc w:val="both"/>
        <w:rPr>
          <w:rFonts w:asciiTheme="majorBidi" w:hAnsiTheme="majorBidi" w:cstheme="majorBidi"/>
          <w:noProof/>
          <w:sz w:val="24"/>
          <w:szCs w:val="24"/>
        </w:rPr>
      </w:pPr>
      <w:r w:rsidRPr="00EE1D63">
        <w:rPr>
          <w:rFonts w:asciiTheme="majorBidi" w:hAnsiTheme="majorBidi" w:cstheme="majorBidi"/>
          <w:b/>
          <w:bCs/>
          <w:noProof/>
          <w:sz w:val="24"/>
          <w:szCs w:val="24"/>
        </w:rPr>
        <w:t>Figure 4:</w:t>
      </w:r>
      <w:r w:rsidRPr="00EE1D63">
        <w:rPr>
          <w:rFonts w:asciiTheme="majorBidi" w:hAnsiTheme="majorBidi" w:cstheme="majorBidi"/>
          <w:noProof/>
          <w:sz w:val="24"/>
          <w:szCs w:val="24"/>
        </w:rPr>
        <w:t xml:space="preserve"> Plot of Actual against the Hodrick-Prescott filtered Equilibrium Exchange Rate</w:t>
      </w:r>
    </w:p>
    <w:p w:rsidR="00EE1D63" w:rsidRPr="00EE1D63" w:rsidRDefault="00EE1D63" w:rsidP="00EE1D63">
      <w:pPr>
        <w:rPr>
          <w:rFonts w:asciiTheme="majorBidi" w:hAnsiTheme="majorBidi" w:cstheme="majorBidi"/>
          <w:sz w:val="20"/>
          <w:szCs w:val="20"/>
        </w:rPr>
      </w:pPr>
      <w:r w:rsidRPr="00EE1D63">
        <w:rPr>
          <w:rFonts w:asciiTheme="majorBidi" w:hAnsiTheme="majorBidi" w:cstheme="majorBidi"/>
          <w:noProof/>
          <w:sz w:val="20"/>
          <w:szCs w:val="20"/>
          <w:lang w:val="en-ZA" w:eastAsia="en-ZA" w:bidi="he-IL"/>
        </w:rPr>
        <w:drawing>
          <wp:inline distT="0" distB="0" distL="0" distR="0" wp14:anchorId="2FF505E5" wp14:editId="65EFF2E3">
            <wp:extent cx="5943600" cy="317862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178629"/>
                    </a:xfrm>
                    <a:prstGeom prst="rect">
                      <a:avLst/>
                    </a:prstGeom>
                    <a:noFill/>
                    <a:ln>
                      <a:noFill/>
                    </a:ln>
                  </pic:spPr>
                </pic:pic>
              </a:graphicData>
            </a:graphic>
          </wp:inline>
        </w:drawing>
      </w:r>
    </w:p>
    <w:p w:rsidR="00EE1D63" w:rsidRPr="00EE1D63" w:rsidRDefault="00EE1D63" w:rsidP="00EE1D63">
      <w:pPr>
        <w:tabs>
          <w:tab w:val="left" w:pos="1500"/>
        </w:tabs>
        <w:spacing w:after="0" w:line="360" w:lineRule="auto"/>
        <w:jc w:val="both"/>
        <w:rPr>
          <w:rFonts w:asciiTheme="majorBidi" w:hAnsiTheme="majorBidi" w:cstheme="majorBidi"/>
          <w:b/>
          <w:bCs/>
          <w:noProof/>
          <w:sz w:val="20"/>
          <w:szCs w:val="20"/>
        </w:rPr>
      </w:pPr>
    </w:p>
    <w:p w:rsidR="00EE1D63" w:rsidRPr="00EE1D63" w:rsidRDefault="00EE1D63" w:rsidP="00EE1D63">
      <w:pPr>
        <w:tabs>
          <w:tab w:val="left" w:pos="1500"/>
        </w:tabs>
        <w:spacing w:after="0" w:line="360" w:lineRule="auto"/>
        <w:jc w:val="both"/>
        <w:rPr>
          <w:rFonts w:asciiTheme="majorBidi" w:hAnsiTheme="majorBidi" w:cstheme="majorBidi"/>
          <w:b/>
          <w:bCs/>
          <w:noProof/>
          <w:sz w:val="20"/>
          <w:szCs w:val="20"/>
        </w:rPr>
      </w:pPr>
    </w:p>
    <w:p w:rsidR="00EE1D63" w:rsidRPr="00EE1D63" w:rsidRDefault="00EE1D63" w:rsidP="00EE1D63">
      <w:pPr>
        <w:tabs>
          <w:tab w:val="left" w:pos="1500"/>
        </w:tabs>
        <w:spacing w:after="0" w:line="360" w:lineRule="auto"/>
        <w:jc w:val="both"/>
        <w:rPr>
          <w:rFonts w:asciiTheme="majorBidi" w:hAnsiTheme="majorBidi" w:cstheme="majorBidi"/>
          <w:b/>
          <w:bCs/>
          <w:noProof/>
          <w:sz w:val="20"/>
          <w:szCs w:val="20"/>
        </w:rPr>
      </w:pPr>
    </w:p>
    <w:p w:rsidR="00EE1D63" w:rsidRPr="00EE1D63" w:rsidRDefault="00EE1D63" w:rsidP="00EE1D63">
      <w:pPr>
        <w:spacing w:after="0" w:line="360" w:lineRule="auto"/>
        <w:jc w:val="both"/>
        <w:rPr>
          <w:rFonts w:asciiTheme="majorBidi" w:hAnsiTheme="majorBidi" w:cstheme="majorBidi"/>
          <w:noProof/>
          <w:sz w:val="24"/>
          <w:szCs w:val="24"/>
        </w:rPr>
      </w:pPr>
      <w:r w:rsidRPr="00EE1D63">
        <w:rPr>
          <w:rFonts w:asciiTheme="majorBidi" w:hAnsiTheme="majorBidi" w:cstheme="majorBidi"/>
          <w:b/>
          <w:bCs/>
          <w:noProof/>
          <w:sz w:val="24"/>
          <w:szCs w:val="24"/>
        </w:rPr>
        <w:lastRenderedPageBreak/>
        <w:t>Figure 5:</w:t>
      </w:r>
      <w:r w:rsidRPr="00EE1D63">
        <w:rPr>
          <w:rFonts w:asciiTheme="majorBidi" w:hAnsiTheme="majorBidi" w:cstheme="majorBidi"/>
          <w:noProof/>
          <w:sz w:val="24"/>
          <w:szCs w:val="24"/>
        </w:rPr>
        <w:t xml:space="preserve"> Plot of Equilibrium Gap (Actual minus HP filtered Equilibrium)</w:t>
      </w:r>
    </w:p>
    <w:p w:rsidR="00EE1D63" w:rsidRPr="00EE1D63" w:rsidRDefault="00EE1D63" w:rsidP="00EE1D63">
      <w:pPr>
        <w:jc w:val="both"/>
        <w:rPr>
          <w:rFonts w:asciiTheme="majorBidi" w:hAnsiTheme="majorBidi" w:cstheme="majorBidi"/>
          <w:sz w:val="20"/>
          <w:szCs w:val="20"/>
        </w:rPr>
      </w:pPr>
      <w:r w:rsidRPr="00EE1D63">
        <w:rPr>
          <w:rFonts w:asciiTheme="majorBidi" w:hAnsiTheme="majorBidi" w:cstheme="majorBidi"/>
          <w:noProof/>
          <w:sz w:val="20"/>
          <w:szCs w:val="20"/>
          <w:lang w:val="en-ZA" w:eastAsia="en-ZA" w:bidi="he-IL"/>
        </w:rPr>
        <w:drawing>
          <wp:inline distT="0" distB="0" distL="0" distR="0" wp14:anchorId="37172344" wp14:editId="0DB0B3AF">
            <wp:extent cx="5943600" cy="33411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341184"/>
                    </a:xfrm>
                    <a:prstGeom prst="rect">
                      <a:avLst/>
                    </a:prstGeom>
                    <a:noFill/>
                    <a:ln>
                      <a:noFill/>
                    </a:ln>
                  </pic:spPr>
                </pic:pic>
              </a:graphicData>
            </a:graphic>
          </wp:inline>
        </w:drawing>
      </w:r>
    </w:p>
    <w:p w:rsidR="00EE1D63" w:rsidRPr="00EE1D63" w:rsidRDefault="00EE1D63" w:rsidP="00EE1D63">
      <w:pPr>
        <w:spacing w:line="480" w:lineRule="auto"/>
        <w:jc w:val="both"/>
        <w:rPr>
          <w:rFonts w:ascii="Times New Roman" w:hAnsi="Times New Roman"/>
          <w:b/>
          <w:sz w:val="24"/>
          <w:szCs w:val="24"/>
        </w:rPr>
      </w:pPr>
    </w:p>
    <w:p w:rsidR="00EE1D63" w:rsidRPr="00EE1D63" w:rsidRDefault="00EE1D63" w:rsidP="00EE1D63">
      <w:pPr>
        <w:spacing w:line="480" w:lineRule="auto"/>
        <w:jc w:val="both"/>
        <w:rPr>
          <w:rFonts w:ascii="Times New Roman" w:hAnsi="Times New Roman"/>
          <w:b/>
          <w:sz w:val="24"/>
          <w:szCs w:val="24"/>
        </w:rPr>
      </w:pPr>
      <w:r w:rsidRPr="00EE1D63">
        <w:rPr>
          <w:rFonts w:ascii="Times New Roman" w:hAnsi="Times New Roman"/>
          <w:b/>
          <w:sz w:val="24"/>
          <w:szCs w:val="24"/>
        </w:rPr>
        <w:t>6. Concluding Remarks</w:t>
      </w:r>
    </w:p>
    <w:p w:rsidR="00EE1D63" w:rsidRPr="00EE1D63" w:rsidRDefault="00EE1D63" w:rsidP="00EE1D63">
      <w:pPr>
        <w:autoSpaceDE w:val="0"/>
        <w:autoSpaceDN w:val="0"/>
        <w:adjustRightInd w:val="0"/>
        <w:spacing w:line="480" w:lineRule="auto"/>
        <w:jc w:val="both"/>
        <w:rPr>
          <w:rFonts w:ascii="Times New Roman" w:eastAsia="Times New Roman" w:hAnsi="Times New Roman"/>
          <w:sz w:val="24"/>
          <w:szCs w:val="24"/>
        </w:rPr>
      </w:pPr>
      <w:r w:rsidRPr="00EE1D63">
        <w:rPr>
          <w:rFonts w:ascii="Times New Roman" w:eastAsia="Times New Roman" w:hAnsi="Times New Roman"/>
          <w:sz w:val="24"/>
          <w:szCs w:val="24"/>
        </w:rPr>
        <w:t xml:space="preserve">The exchange rate has remained one of the most widely discussed variables in the global economy. Central to the dominance of this macroeconomic variable is the fact that frequent exchange rate misalignments are generally seen as detrimental to current and capital account balance, and to the accumulation of external reserves. Moreover, the real exchange rate has strong links with other crucial macroeconomic variables, such as inflation and the real interest rate. Thus, policymakers cannot undertake any meaningful short- or long-term projections without incorporating this variable. One of the widely recognized ways of tracking the real exchange rate is by examining its steady-state or equilibrium properties. In this way, policy-makers could determine whether the actual real exchange rate has been moving along the desired </w:t>
      </w:r>
      <w:r w:rsidRPr="00EE1D63">
        <w:rPr>
          <w:rFonts w:ascii="Times New Roman" w:eastAsia="Times New Roman" w:hAnsi="Times New Roman"/>
          <w:sz w:val="24"/>
          <w:szCs w:val="24"/>
        </w:rPr>
        <w:lastRenderedPageBreak/>
        <w:t xml:space="preserve">path. In the past, researchers have employed the PPP procedure to track the movement of the real exchange rate over time. </w:t>
      </w:r>
    </w:p>
    <w:p w:rsidR="00EE1D63" w:rsidRPr="00EE1D63" w:rsidRDefault="00EE1D63" w:rsidP="00EE1D63">
      <w:pPr>
        <w:autoSpaceDE w:val="0"/>
        <w:autoSpaceDN w:val="0"/>
        <w:adjustRightInd w:val="0"/>
        <w:spacing w:after="0" w:line="480" w:lineRule="auto"/>
        <w:jc w:val="both"/>
        <w:rPr>
          <w:rFonts w:ascii="Times New Roman" w:eastAsia="Times New Roman" w:hAnsi="Times New Roman"/>
          <w:sz w:val="24"/>
          <w:szCs w:val="24"/>
        </w:rPr>
      </w:pPr>
      <w:r w:rsidRPr="00EE1D63">
        <w:rPr>
          <w:rFonts w:ascii="Times New Roman" w:eastAsia="Times New Roman" w:hAnsi="Times New Roman"/>
          <w:sz w:val="24"/>
          <w:szCs w:val="24"/>
        </w:rPr>
        <w:t>However, most recent studies have found the PPP procedure to be inappropriate, due to its slow mean-reverting property. The widely favoured method in the recent literature is the behavioural equilibrium approach. In this paper, we estimated the equilibrium real exchange rate for Botswana by following the behavioural equilibrium real exchange rate approach. Unlike most of the previous studies, which employed the Johansen, Engle two-step, and Phillips-</w:t>
      </w:r>
      <w:proofErr w:type="spellStart"/>
      <w:r w:rsidRPr="00EE1D63">
        <w:rPr>
          <w:rFonts w:ascii="Times New Roman" w:eastAsia="Times New Roman" w:hAnsi="Times New Roman"/>
          <w:sz w:val="24"/>
          <w:szCs w:val="24"/>
        </w:rPr>
        <w:t>Ouliaris</w:t>
      </w:r>
      <w:proofErr w:type="spellEnd"/>
      <w:r w:rsidRPr="00EE1D63">
        <w:rPr>
          <w:rFonts w:ascii="Times New Roman" w:eastAsia="Times New Roman" w:hAnsi="Times New Roman"/>
          <w:sz w:val="24"/>
          <w:szCs w:val="24"/>
        </w:rPr>
        <w:t xml:space="preserve"> </w:t>
      </w:r>
      <w:proofErr w:type="spellStart"/>
      <w:r w:rsidRPr="00EE1D63">
        <w:rPr>
          <w:rFonts w:ascii="Times New Roman" w:eastAsia="Times New Roman" w:hAnsi="Times New Roman"/>
          <w:sz w:val="24"/>
          <w:szCs w:val="24"/>
        </w:rPr>
        <w:t>cointegration</w:t>
      </w:r>
      <w:proofErr w:type="spellEnd"/>
      <w:r w:rsidRPr="00EE1D63">
        <w:rPr>
          <w:rFonts w:ascii="Times New Roman" w:eastAsia="Times New Roman" w:hAnsi="Times New Roman"/>
          <w:sz w:val="24"/>
          <w:szCs w:val="24"/>
        </w:rPr>
        <w:t xml:space="preserve"> procedures, which are known to suffer greatly in small samples, we employed the ARDL bounds testing procedure, which has better small-sample properties. We also explored the chronology of exchange rate events in Botswana since independence. The evidence suggested that Botswana operated a fixed exchange without adjustable pegs from 1966-1976; a fixed exchange rate with adjustable pegs from 1976-1980; and a fixed exchange rate with a currency basket from 1980 to date. From the ARDL bounds testing procedure, we found that the determinants of the equilibrium real exchange rate were: terms of trade and trade openness, in Botswana. The actual real exchange rate appears to have deviated significantly from the equilibrium exchange rate in Botswana. Specifically, the actual real exchange rate has appreciated significantly against the equilibrium exchange rate during the period 1981 – 1986 and 2002 – 2005. During the periods 1988 – 1992, 1996 – 2001, and 2006 – 2012, the actual real exchange rate has depreciated significantly against the equilibrium exchange rate. Finally, the speed of adjustment, when the actual real exchange rate deviates from its equilibrium level, is also considerably slower in Botswana. These findings call for policies that can help enhance the adjustment mechanism, in order to safeguard the pula against excess misalignment in the future.</w:t>
      </w:r>
    </w:p>
    <w:p w:rsidR="00EE1D63" w:rsidRPr="00EE1D63" w:rsidRDefault="00EE1D63" w:rsidP="00EE1D63">
      <w:pPr>
        <w:spacing w:line="480" w:lineRule="auto"/>
        <w:jc w:val="both"/>
        <w:rPr>
          <w:rFonts w:ascii="Times New Roman" w:hAnsi="Times New Roman"/>
          <w:sz w:val="24"/>
          <w:szCs w:val="24"/>
        </w:rPr>
      </w:pPr>
    </w:p>
    <w:p w:rsidR="00EE1D63" w:rsidRPr="00EE1D63" w:rsidRDefault="00EE1D63" w:rsidP="00EE1D63">
      <w:pPr>
        <w:spacing w:line="480" w:lineRule="auto"/>
        <w:jc w:val="both"/>
        <w:rPr>
          <w:rFonts w:ascii="Times New Roman" w:hAnsi="Times New Roman"/>
          <w:b/>
          <w:bCs/>
          <w:sz w:val="24"/>
          <w:szCs w:val="24"/>
        </w:rPr>
      </w:pPr>
      <w:r w:rsidRPr="00EE1D63">
        <w:rPr>
          <w:rFonts w:ascii="Times New Roman" w:hAnsi="Times New Roman"/>
          <w:b/>
          <w:bCs/>
          <w:sz w:val="24"/>
          <w:szCs w:val="24"/>
        </w:rPr>
        <w:lastRenderedPageBreak/>
        <w:t>References</w:t>
      </w:r>
    </w:p>
    <w:p w:rsidR="00EE1D63" w:rsidRPr="00EE1D63" w:rsidRDefault="00EE1D63" w:rsidP="00EE1D63">
      <w:pPr>
        <w:jc w:val="both"/>
        <w:rPr>
          <w:rFonts w:asciiTheme="majorBidi" w:hAnsiTheme="majorBidi" w:cstheme="majorBidi"/>
          <w:sz w:val="24"/>
          <w:szCs w:val="24"/>
        </w:rPr>
      </w:pPr>
      <w:proofErr w:type="gramStart"/>
      <w:r w:rsidRPr="00EE1D63">
        <w:rPr>
          <w:rFonts w:asciiTheme="majorBidi" w:hAnsiTheme="majorBidi" w:cstheme="majorBidi"/>
          <w:sz w:val="24"/>
          <w:szCs w:val="24"/>
        </w:rPr>
        <w:t xml:space="preserve">Aron, J., </w:t>
      </w:r>
      <w:proofErr w:type="spellStart"/>
      <w:r w:rsidRPr="00EE1D63">
        <w:rPr>
          <w:rFonts w:asciiTheme="majorBidi" w:hAnsiTheme="majorBidi" w:cstheme="majorBidi"/>
          <w:sz w:val="24"/>
          <w:szCs w:val="24"/>
        </w:rPr>
        <w:t>Elbadawi</w:t>
      </w:r>
      <w:proofErr w:type="spellEnd"/>
      <w:r w:rsidRPr="00EE1D63">
        <w:rPr>
          <w:rFonts w:asciiTheme="majorBidi" w:hAnsiTheme="majorBidi" w:cstheme="majorBidi"/>
          <w:sz w:val="24"/>
          <w:szCs w:val="24"/>
        </w:rPr>
        <w:t>, I., and Kahn, B. (2000).</w:t>
      </w:r>
      <w:proofErr w:type="gramEnd"/>
      <w:r w:rsidRPr="00EE1D63">
        <w:rPr>
          <w:rFonts w:asciiTheme="majorBidi" w:hAnsiTheme="majorBidi" w:cstheme="majorBidi"/>
          <w:sz w:val="24"/>
          <w:szCs w:val="24"/>
        </w:rPr>
        <w:t xml:space="preserve"> “Real and Monetary Determinants of the Real Exchange Rate in South Africa,” in Development Issues in South Africa, Ed. by Ibrahim </w:t>
      </w:r>
      <w:proofErr w:type="spellStart"/>
      <w:r w:rsidRPr="00EE1D63">
        <w:rPr>
          <w:rFonts w:asciiTheme="majorBidi" w:hAnsiTheme="majorBidi" w:cstheme="majorBidi"/>
          <w:sz w:val="24"/>
          <w:szCs w:val="24"/>
        </w:rPr>
        <w:t>Elbadawi</w:t>
      </w:r>
      <w:proofErr w:type="spellEnd"/>
      <w:r w:rsidRPr="00EE1D63">
        <w:rPr>
          <w:rFonts w:asciiTheme="majorBidi" w:hAnsiTheme="majorBidi" w:cstheme="majorBidi"/>
          <w:sz w:val="24"/>
          <w:szCs w:val="24"/>
        </w:rPr>
        <w:t xml:space="preserve">, I., and </w:t>
      </w:r>
      <w:proofErr w:type="spellStart"/>
      <w:r w:rsidRPr="00EE1D63">
        <w:rPr>
          <w:rFonts w:asciiTheme="majorBidi" w:hAnsiTheme="majorBidi" w:cstheme="majorBidi"/>
          <w:sz w:val="24"/>
          <w:szCs w:val="24"/>
        </w:rPr>
        <w:t>Hartzenberg</w:t>
      </w:r>
      <w:proofErr w:type="spellEnd"/>
      <w:r w:rsidRPr="00EE1D63">
        <w:rPr>
          <w:rFonts w:asciiTheme="majorBidi" w:hAnsiTheme="majorBidi" w:cstheme="majorBidi"/>
          <w:sz w:val="24"/>
          <w:szCs w:val="24"/>
        </w:rPr>
        <w:t>, T. (London: Macmillan).</w:t>
      </w:r>
    </w:p>
    <w:p w:rsidR="00EE1D63" w:rsidRPr="00EE1D63" w:rsidRDefault="00EE1D63" w:rsidP="00EE1D63">
      <w:pPr>
        <w:jc w:val="both"/>
        <w:rPr>
          <w:rFonts w:asciiTheme="majorBidi" w:hAnsiTheme="majorBidi" w:cstheme="majorBidi"/>
          <w:sz w:val="24"/>
          <w:szCs w:val="24"/>
        </w:rPr>
      </w:pPr>
      <w:proofErr w:type="gramStart"/>
      <w:r w:rsidRPr="00EE1D63">
        <w:rPr>
          <w:rFonts w:asciiTheme="majorBidi" w:hAnsiTheme="majorBidi" w:cstheme="majorBidi"/>
          <w:sz w:val="24"/>
          <w:szCs w:val="24"/>
        </w:rPr>
        <w:t>Bank of Botswana (2001).</w:t>
      </w:r>
      <w:proofErr w:type="gramEnd"/>
      <w:r w:rsidRPr="00EE1D63">
        <w:rPr>
          <w:rFonts w:asciiTheme="majorBidi" w:hAnsiTheme="majorBidi" w:cstheme="majorBidi"/>
          <w:sz w:val="24"/>
          <w:szCs w:val="24"/>
        </w:rPr>
        <w:t xml:space="preserve"> Money and Banking in Botswana. </w:t>
      </w:r>
      <w:proofErr w:type="gramStart"/>
      <w:r w:rsidRPr="00EE1D63">
        <w:rPr>
          <w:rFonts w:asciiTheme="majorBidi" w:hAnsiTheme="majorBidi" w:cstheme="majorBidi"/>
          <w:sz w:val="24"/>
          <w:szCs w:val="24"/>
        </w:rPr>
        <w:t>Published by Bank of Botswana.</w:t>
      </w:r>
      <w:proofErr w:type="gramEnd"/>
    </w:p>
    <w:p w:rsidR="00EE1D63" w:rsidRPr="00EE1D63" w:rsidRDefault="00EE1D63" w:rsidP="00EE1D63">
      <w:pPr>
        <w:jc w:val="both"/>
        <w:rPr>
          <w:rFonts w:ascii="Times New Roman" w:hAnsi="Times New Roman"/>
          <w:bCs/>
          <w:sz w:val="24"/>
          <w:szCs w:val="24"/>
          <w:lang w:val="en-ZA"/>
        </w:rPr>
      </w:pPr>
      <w:r w:rsidRPr="00EE1D63">
        <w:rPr>
          <w:rFonts w:ascii="Times New Roman" w:hAnsi="Times New Roman"/>
          <w:bCs/>
          <w:sz w:val="24"/>
          <w:szCs w:val="24"/>
          <w:lang w:val="en-ZA"/>
        </w:rPr>
        <w:t>Balassa, B. (1964). The Purchasing Power Parity Doctrine: A Reappraisal. Journal of Political Economy 72: 584–96.</w:t>
      </w:r>
    </w:p>
    <w:p w:rsidR="00EE1D63" w:rsidRPr="00EE1D63" w:rsidRDefault="00EE1D63" w:rsidP="00EE1D63">
      <w:pPr>
        <w:jc w:val="both"/>
        <w:rPr>
          <w:rFonts w:ascii="Times New Roman" w:hAnsi="Times New Roman"/>
          <w:bCs/>
          <w:sz w:val="24"/>
          <w:szCs w:val="24"/>
          <w:lang w:val="en-ZA"/>
        </w:rPr>
      </w:pPr>
      <w:proofErr w:type="spellStart"/>
      <w:r w:rsidRPr="00EE1D63">
        <w:rPr>
          <w:rFonts w:ascii="Times New Roman" w:hAnsi="Times New Roman"/>
          <w:bCs/>
          <w:sz w:val="24"/>
          <w:szCs w:val="24"/>
          <w:lang w:val="en-ZA"/>
        </w:rPr>
        <w:t>Bhagwati</w:t>
      </w:r>
      <w:proofErr w:type="spellEnd"/>
      <w:r w:rsidRPr="00EE1D63">
        <w:rPr>
          <w:rFonts w:ascii="Times New Roman" w:hAnsi="Times New Roman"/>
          <w:bCs/>
          <w:sz w:val="24"/>
          <w:szCs w:val="24"/>
          <w:lang w:val="en-ZA"/>
        </w:rPr>
        <w:t>, J. N. (1984). Why Are Services Cheaper in The Poor Countries? The Economic Journal 94: 279–86.</w:t>
      </w:r>
    </w:p>
    <w:p w:rsidR="00EE1D63" w:rsidRPr="00EE1D63" w:rsidRDefault="00EE1D63" w:rsidP="00EE1D63">
      <w:pPr>
        <w:jc w:val="both"/>
        <w:rPr>
          <w:rFonts w:ascii="Times New Roman" w:hAnsi="Times New Roman"/>
          <w:bCs/>
          <w:sz w:val="24"/>
          <w:szCs w:val="24"/>
          <w:lang w:val="en-ZA"/>
        </w:rPr>
      </w:pPr>
      <w:proofErr w:type="gramStart"/>
      <w:r w:rsidRPr="00EE1D63">
        <w:rPr>
          <w:rFonts w:ascii="Times New Roman" w:hAnsi="Times New Roman"/>
          <w:bCs/>
          <w:sz w:val="24"/>
          <w:szCs w:val="24"/>
          <w:lang w:val="en-ZA"/>
        </w:rPr>
        <w:t>Berger, H., J.-E.</w:t>
      </w:r>
      <w:proofErr w:type="gramEnd"/>
      <w:r w:rsidRPr="00EE1D63">
        <w:rPr>
          <w:rFonts w:ascii="Times New Roman" w:hAnsi="Times New Roman"/>
          <w:bCs/>
          <w:sz w:val="24"/>
          <w:szCs w:val="24"/>
          <w:lang w:val="en-ZA"/>
        </w:rPr>
        <w:t xml:space="preserve"> </w:t>
      </w:r>
      <w:proofErr w:type="gramStart"/>
      <w:r w:rsidRPr="00EE1D63">
        <w:rPr>
          <w:rFonts w:ascii="Times New Roman" w:hAnsi="Times New Roman"/>
          <w:bCs/>
          <w:sz w:val="24"/>
          <w:szCs w:val="24"/>
          <w:lang w:val="en-ZA"/>
        </w:rPr>
        <w:t>Sturm,</w:t>
      </w:r>
      <w:proofErr w:type="gramEnd"/>
      <w:r w:rsidRPr="00EE1D63">
        <w:rPr>
          <w:rFonts w:ascii="Times New Roman" w:hAnsi="Times New Roman"/>
          <w:bCs/>
          <w:sz w:val="24"/>
          <w:szCs w:val="24"/>
          <w:lang w:val="en-ZA"/>
        </w:rPr>
        <w:t xml:space="preserve"> and J. de </w:t>
      </w:r>
      <w:proofErr w:type="spellStart"/>
      <w:r w:rsidRPr="00EE1D63">
        <w:rPr>
          <w:rFonts w:ascii="Times New Roman" w:hAnsi="Times New Roman"/>
          <w:bCs/>
          <w:sz w:val="24"/>
          <w:szCs w:val="24"/>
          <w:lang w:val="en-ZA"/>
        </w:rPr>
        <w:t>Haan</w:t>
      </w:r>
      <w:proofErr w:type="spellEnd"/>
      <w:r w:rsidRPr="00EE1D63">
        <w:rPr>
          <w:rFonts w:ascii="Times New Roman" w:hAnsi="Times New Roman"/>
          <w:bCs/>
          <w:sz w:val="24"/>
          <w:szCs w:val="24"/>
          <w:lang w:val="en-ZA"/>
        </w:rPr>
        <w:t xml:space="preserve"> (2000). </w:t>
      </w:r>
      <w:proofErr w:type="gramStart"/>
      <w:r w:rsidRPr="00EE1D63">
        <w:rPr>
          <w:rFonts w:ascii="Times New Roman" w:hAnsi="Times New Roman"/>
          <w:bCs/>
          <w:sz w:val="24"/>
          <w:szCs w:val="24"/>
          <w:lang w:val="en-ZA"/>
        </w:rPr>
        <w:t xml:space="preserve">An Empirical Investigation into Exchange Rate Regime Choice and Exchange Rate Volatility, </w:t>
      </w:r>
      <w:proofErr w:type="spellStart"/>
      <w:r w:rsidRPr="00EE1D63">
        <w:rPr>
          <w:rFonts w:ascii="Times New Roman" w:hAnsi="Times New Roman"/>
          <w:bCs/>
          <w:sz w:val="24"/>
          <w:szCs w:val="24"/>
          <w:lang w:val="en-ZA"/>
        </w:rPr>
        <w:t>CESifo</w:t>
      </w:r>
      <w:proofErr w:type="spellEnd"/>
      <w:r w:rsidRPr="00EE1D63">
        <w:rPr>
          <w:rFonts w:ascii="Times New Roman" w:hAnsi="Times New Roman"/>
          <w:bCs/>
          <w:sz w:val="24"/>
          <w:szCs w:val="24"/>
          <w:lang w:val="en-ZA"/>
        </w:rPr>
        <w:t xml:space="preserve"> Working Paper No. 263, </w:t>
      </w:r>
      <w:proofErr w:type="spellStart"/>
      <w:r w:rsidRPr="00EE1D63">
        <w:rPr>
          <w:rFonts w:ascii="Times New Roman" w:hAnsi="Times New Roman"/>
          <w:bCs/>
          <w:sz w:val="24"/>
          <w:szCs w:val="24"/>
          <w:lang w:val="en-ZA"/>
        </w:rPr>
        <w:t>CESifo</w:t>
      </w:r>
      <w:proofErr w:type="spellEnd"/>
      <w:r w:rsidRPr="00EE1D63">
        <w:rPr>
          <w:rFonts w:ascii="Times New Roman" w:hAnsi="Times New Roman"/>
          <w:bCs/>
          <w:sz w:val="24"/>
          <w:szCs w:val="24"/>
          <w:lang w:val="en-ZA"/>
        </w:rPr>
        <w:t xml:space="preserve"> Institute, Munich.</w:t>
      </w:r>
      <w:proofErr w:type="gramEnd"/>
    </w:p>
    <w:p w:rsidR="00EE1D63" w:rsidRPr="00EE1D63" w:rsidRDefault="00EE1D63" w:rsidP="00EE1D63">
      <w:pPr>
        <w:jc w:val="both"/>
        <w:rPr>
          <w:rFonts w:asciiTheme="majorBidi" w:hAnsiTheme="majorBidi" w:cstheme="majorBidi"/>
          <w:sz w:val="24"/>
          <w:szCs w:val="24"/>
        </w:rPr>
      </w:pPr>
      <w:proofErr w:type="gramStart"/>
      <w:r w:rsidRPr="00EE1D63">
        <w:rPr>
          <w:rFonts w:asciiTheme="majorBidi" w:hAnsiTheme="majorBidi" w:cstheme="majorBidi"/>
          <w:sz w:val="24"/>
          <w:szCs w:val="24"/>
        </w:rPr>
        <w:t>Brown, R. L., Durbin, J., and Evans, J. M. (1975).</w:t>
      </w:r>
      <w:proofErr w:type="gramEnd"/>
      <w:r w:rsidRPr="00EE1D63">
        <w:rPr>
          <w:rFonts w:asciiTheme="majorBidi" w:hAnsiTheme="majorBidi" w:cstheme="majorBidi"/>
          <w:sz w:val="24"/>
          <w:szCs w:val="24"/>
        </w:rPr>
        <w:t xml:space="preserve"> </w:t>
      </w:r>
      <w:proofErr w:type="gramStart"/>
      <w:r w:rsidRPr="00EE1D63">
        <w:rPr>
          <w:rFonts w:asciiTheme="majorBidi" w:hAnsiTheme="majorBidi" w:cstheme="majorBidi"/>
          <w:sz w:val="24"/>
          <w:szCs w:val="24"/>
        </w:rPr>
        <w:t>Techniques for Testing the Consistency of Regression Relations over Time with Discussion.</w:t>
      </w:r>
      <w:proofErr w:type="gramEnd"/>
      <w:r w:rsidRPr="00EE1D63">
        <w:rPr>
          <w:rFonts w:asciiTheme="majorBidi" w:hAnsiTheme="majorBidi" w:cstheme="majorBidi"/>
          <w:sz w:val="24"/>
          <w:szCs w:val="24"/>
        </w:rPr>
        <w:t xml:space="preserve"> </w:t>
      </w:r>
      <w:proofErr w:type="gramStart"/>
      <w:r w:rsidRPr="00EE1D63">
        <w:rPr>
          <w:rFonts w:asciiTheme="majorBidi" w:hAnsiTheme="majorBidi" w:cstheme="majorBidi"/>
          <w:sz w:val="24"/>
          <w:szCs w:val="24"/>
        </w:rPr>
        <w:t>Journal of the Royal Statistical Society, Series B.</w:t>
      </w:r>
      <w:proofErr w:type="gramEnd"/>
    </w:p>
    <w:p w:rsidR="00EE1D63" w:rsidRPr="00EE1D63" w:rsidRDefault="00EE1D63" w:rsidP="00EE1D63">
      <w:pPr>
        <w:jc w:val="both"/>
        <w:rPr>
          <w:rFonts w:asciiTheme="majorBidi" w:hAnsiTheme="majorBidi" w:cstheme="majorBidi"/>
          <w:sz w:val="24"/>
          <w:szCs w:val="24"/>
          <w:lang w:val="es-ES"/>
        </w:rPr>
      </w:pPr>
      <w:proofErr w:type="gramStart"/>
      <w:r w:rsidRPr="00EE1D63">
        <w:rPr>
          <w:rFonts w:asciiTheme="majorBidi" w:hAnsiTheme="majorBidi" w:cstheme="majorBidi"/>
          <w:sz w:val="24"/>
          <w:szCs w:val="24"/>
        </w:rPr>
        <w:t>Caner, M. and Kilian, L. (2001).</w:t>
      </w:r>
      <w:proofErr w:type="gramEnd"/>
      <w:r w:rsidRPr="00EE1D63">
        <w:rPr>
          <w:rFonts w:asciiTheme="majorBidi" w:hAnsiTheme="majorBidi" w:cstheme="majorBidi"/>
          <w:sz w:val="24"/>
          <w:szCs w:val="24"/>
        </w:rPr>
        <w:t xml:space="preserve"> Size Distortion of Tests of the Null Hypothesis of Stationarity: Evidence and Implication for the PPP Debate. </w:t>
      </w:r>
      <w:proofErr w:type="spellStart"/>
      <w:r w:rsidRPr="00EE1D63">
        <w:rPr>
          <w:rFonts w:asciiTheme="majorBidi" w:hAnsiTheme="majorBidi" w:cstheme="majorBidi"/>
          <w:sz w:val="24"/>
          <w:szCs w:val="24"/>
          <w:lang w:val="es-ES"/>
        </w:rPr>
        <w:t>Journal</w:t>
      </w:r>
      <w:proofErr w:type="spellEnd"/>
      <w:r w:rsidRPr="00EE1D63">
        <w:rPr>
          <w:rFonts w:asciiTheme="majorBidi" w:hAnsiTheme="majorBidi" w:cstheme="majorBidi"/>
          <w:sz w:val="24"/>
          <w:szCs w:val="24"/>
          <w:lang w:val="es-ES"/>
        </w:rPr>
        <w:t xml:space="preserve"> of International Money and </w:t>
      </w:r>
      <w:proofErr w:type="spellStart"/>
      <w:r w:rsidRPr="00EE1D63">
        <w:rPr>
          <w:rFonts w:asciiTheme="majorBidi" w:hAnsiTheme="majorBidi" w:cstheme="majorBidi"/>
          <w:sz w:val="24"/>
          <w:szCs w:val="24"/>
          <w:lang w:val="es-ES"/>
        </w:rPr>
        <w:t>Finance</w:t>
      </w:r>
      <w:proofErr w:type="spellEnd"/>
      <w:r w:rsidRPr="00EE1D63">
        <w:rPr>
          <w:rFonts w:asciiTheme="majorBidi" w:hAnsiTheme="majorBidi" w:cstheme="majorBidi"/>
          <w:sz w:val="24"/>
          <w:szCs w:val="24"/>
          <w:lang w:val="es-ES"/>
        </w:rPr>
        <w:t xml:space="preserve"> 20: 639-657.</w:t>
      </w:r>
    </w:p>
    <w:p w:rsidR="00EE1D63" w:rsidRPr="00EE1D63" w:rsidRDefault="00EE1D63" w:rsidP="00EE1D63">
      <w:pPr>
        <w:jc w:val="both"/>
        <w:rPr>
          <w:rFonts w:asciiTheme="majorBidi" w:hAnsiTheme="majorBidi" w:cstheme="majorBidi"/>
          <w:sz w:val="24"/>
          <w:szCs w:val="24"/>
          <w:lang w:val="es-ES"/>
        </w:rPr>
      </w:pPr>
      <w:proofErr w:type="spellStart"/>
      <w:r w:rsidRPr="00EE1D63">
        <w:rPr>
          <w:rFonts w:asciiTheme="majorBidi" w:hAnsiTheme="majorBidi" w:cstheme="majorBidi"/>
          <w:sz w:val="24"/>
          <w:szCs w:val="24"/>
          <w:lang w:val="es-ES"/>
        </w:rPr>
        <w:t>Cardenas</w:t>
      </w:r>
      <w:proofErr w:type="spellEnd"/>
      <w:r w:rsidRPr="00EE1D63">
        <w:rPr>
          <w:rFonts w:asciiTheme="majorBidi" w:hAnsiTheme="majorBidi" w:cstheme="majorBidi"/>
          <w:sz w:val="24"/>
          <w:szCs w:val="24"/>
          <w:lang w:val="es-ES"/>
        </w:rPr>
        <w:t>, M. (1997) La Tasa de Cambio en Colombia (</w:t>
      </w:r>
      <w:proofErr w:type="spellStart"/>
      <w:r w:rsidRPr="00EE1D63">
        <w:rPr>
          <w:rFonts w:asciiTheme="majorBidi" w:hAnsiTheme="majorBidi" w:cstheme="majorBidi"/>
          <w:sz w:val="24"/>
          <w:szCs w:val="24"/>
          <w:lang w:val="es-ES"/>
        </w:rPr>
        <w:t>Bogota</w:t>
      </w:r>
      <w:proofErr w:type="spellEnd"/>
      <w:r w:rsidRPr="00EE1D63">
        <w:rPr>
          <w:rFonts w:asciiTheme="majorBidi" w:hAnsiTheme="majorBidi" w:cstheme="majorBidi"/>
          <w:sz w:val="24"/>
          <w:szCs w:val="24"/>
          <w:lang w:val="es-ES"/>
        </w:rPr>
        <w:t xml:space="preserve">: Cuadernos </w:t>
      </w:r>
      <w:proofErr w:type="spellStart"/>
      <w:r w:rsidRPr="00EE1D63">
        <w:rPr>
          <w:rFonts w:asciiTheme="majorBidi" w:hAnsiTheme="majorBidi" w:cstheme="majorBidi"/>
          <w:sz w:val="24"/>
          <w:szCs w:val="24"/>
          <w:lang w:val="es-ES"/>
        </w:rPr>
        <w:t>Fedesarallo</w:t>
      </w:r>
      <w:proofErr w:type="spellEnd"/>
      <w:r w:rsidRPr="00EE1D63">
        <w:rPr>
          <w:rFonts w:asciiTheme="majorBidi" w:hAnsiTheme="majorBidi" w:cstheme="majorBidi"/>
          <w:sz w:val="24"/>
          <w:szCs w:val="24"/>
          <w:lang w:val="es-ES"/>
        </w:rPr>
        <w:t>).</w:t>
      </w:r>
    </w:p>
    <w:p w:rsidR="00EE1D63" w:rsidRPr="00EE1D63" w:rsidRDefault="00EE1D63" w:rsidP="00EE1D63">
      <w:pPr>
        <w:jc w:val="both"/>
        <w:rPr>
          <w:rFonts w:asciiTheme="majorBidi" w:hAnsiTheme="majorBidi" w:cstheme="majorBidi"/>
          <w:sz w:val="24"/>
          <w:szCs w:val="24"/>
        </w:rPr>
      </w:pPr>
      <w:proofErr w:type="spellStart"/>
      <w:proofErr w:type="gramStart"/>
      <w:r w:rsidRPr="00EE1D63">
        <w:rPr>
          <w:rFonts w:asciiTheme="majorBidi" w:hAnsiTheme="majorBidi" w:cstheme="majorBidi"/>
          <w:sz w:val="24"/>
          <w:szCs w:val="24"/>
        </w:rPr>
        <w:t>Cashin</w:t>
      </w:r>
      <w:proofErr w:type="spellEnd"/>
      <w:r w:rsidRPr="00EE1D63">
        <w:rPr>
          <w:rFonts w:asciiTheme="majorBidi" w:hAnsiTheme="majorBidi" w:cstheme="majorBidi"/>
          <w:sz w:val="24"/>
          <w:szCs w:val="24"/>
        </w:rPr>
        <w:t xml:space="preserve">, P., </w:t>
      </w:r>
      <w:proofErr w:type="spellStart"/>
      <w:r w:rsidRPr="00EE1D63">
        <w:rPr>
          <w:rFonts w:asciiTheme="majorBidi" w:hAnsiTheme="majorBidi" w:cstheme="majorBidi"/>
          <w:sz w:val="24"/>
          <w:szCs w:val="24"/>
        </w:rPr>
        <w:t>Cespedes</w:t>
      </w:r>
      <w:proofErr w:type="spellEnd"/>
      <w:r w:rsidRPr="00EE1D63">
        <w:rPr>
          <w:rFonts w:asciiTheme="majorBidi" w:hAnsiTheme="majorBidi" w:cstheme="majorBidi"/>
          <w:sz w:val="24"/>
          <w:szCs w:val="24"/>
        </w:rPr>
        <w:t>, L., and Sahay, R. (2002).</w:t>
      </w:r>
      <w:proofErr w:type="gramEnd"/>
      <w:r w:rsidRPr="00EE1D63">
        <w:rPr>
          <w:rFonts w:asciiTheme="majorBidi" w:hAnsiTheme="majorBidi" w:cstheme="majorBidi"/>
          <w:sz w:val="24"/>
          <w:szCs w:val="24"/>
        </w:rPr>
        <w:t xml:space="preserve"> Developing Country Real Exchange Rates: How Many are Commodity Countries?” IMF Working Paper 02/223 (Washington: International Monetary Fund).</w:t>
      </w:r>
    </w:p>
    <w:p w:rsidR="00EE1D63" w:rsidRPr="00EE1D63" w:rsidRDefault="00EE1D63" w:rsidP="00EE1D63">
      <w:pPr>
        <w:jc w:val="both"/>
        <w:rPr>
          <w:rFonts w:asciiTheme="majorBidi" w:hAnsiTheme="majorBidi" w:cstheme="majorBidi"/>
          <w:sz w:val="24"/>
          <w:szCs w:val="24"/>
        </w:rPr>
      </w:pPr>
      <w:proofErr w:type="gramStart"/>
      <w:r w:rsidRPr="00EE1D63">
        <w:rPr>
          <w:rFonts w:asciiTheme="majorBidi" w:hAnsiTheme="majorBidi" w:cstheme="majorBidi"/>
          <w:sz w:val="24"/>
          <w:szCs w:val="24"/>
        </w:rPr>
        <w:t>Chen, Y-C., and Rogoff, K. (2002).</w:t>
      </w:r>
      <w:proofErr w:type="gramEnd"/>
      <w:r w:rsidRPr="00EE1D63">
        <w:rPr>
          <w:rFonts w:asciiTheme="majorBidi" w:hAnsiTheme="majorBidi" w:cstheme="majorBidi"/>
          <w:sz w:val="24"/>
          <w:szCs w:val="24"/>
        </w:rPr>
        <w:t xml:space="preserve"> </w:t>
      </w:r>
      <w:proofErr w:type="gramStart"/>
      <w:r w:rsidRPr="00EE1D63">
        <w:rPr>
          <w:rFonts w:asciiTheme="majorBidi" w:hAnsiTheme="majorBidi" w:cstheme="majorBidi"/>
          <w:sz w:val="24"/>
          <w:szCs w:val="24"/>
        </w:rPr>
        <w:t>Commodity Currencies and Empirical Exchange Rate Puzzles.</w:t>
      </w:r>
      <w:proofErr w:type="gramEnd"/>
      <w:r w:rsidRPr="00EE1D63">
        <w:rPr>
          <w:rFonts w:asciiTheme="majorBidi" w:hAnsiTheme="majorBidi" w:cstheme="majorBidi"/>
          <w:sz w:val="24"/>
          <w:szCs w:val="24"/>
        </w:rPr>
        <w:t xml:space="preserve"> IMF Working Paper 02/27 (Washington: International Monetary Fund).</w:t>
      </w:r>
    </w:p>
    <w:p w:rsidR="00EE1D63" w:rsidRPr="00EE1D63" w:rsidRDefault="00EE1D63" w:rsidP="00EE1D63">
      <w:pPr>
        <w:jc w:val="both"/>
        <w:rPr>
          <w:rFonts w:asciiTheme="majorBidi" w:hAnsiTheme="majorBidi" w:cstheme="majorBidi"/>
          <w:sz w:val="24"/>
          <w:szCs w:val="24"/>
        </w:rPr>
      </w:pPr>
      <w:proofErr w:type="gramStart"/>
      <w:r w:rsidRPr="00EE1D63">
        <w:rPr>
          <w:rFonts w:asciiTheme="majorBidi" w:hAnsiTheme="majorBidi" w:cstheme="majorBidi"/>
          <w:sz w:val="24"/>
          <w:szCs w:val="24"/>
        </w:rPr>
        <w:t xml:space="preserve">Clark, P., </w:t>
      </w:r>
      <w:proofErr w:type="spellStart"/>
      <w:r w:rsidRPr="00EE1D63">
        <w:rPr>
          <w:rFonts w:asciiTheme="majorBidi" w:hAnsiTheme="majorBidi" w:cstheme="majorBidi"/>
          <w:sz w:val="24"/>
          <w:szCs w:val="24"/>
        </w:rPr>
        <w:t>Bartolimi</w:t>
      </w:r>
      <w:proofErr w:type="spellEnd"/>
      <w:r w:rsidRPr="00EE1D63">
        <w:rPr>
          <w:rFonts w:asciiTheme="majorBidi" w:hAnsiTheme="majorBidi" w:cstheme="majorBidi"/>
          <w:sz w:val="24"/>
          <w:szCs w:val="24"/>
        </w:rPr>
        <w:t xml:space="preserve">, L., </w:t>
      </w:r>
      <w:proofErr w:type="spellStart"/>
      <w:r w:rsidRPr="00EE1D63">
        <w:rPr>
          <w:rFonts w:asciiTheme="majorBidi" w:hAnsiTheme="majorBidi" w:cstheme="majorBidi"/>
          <w:sz w:val="24"/>
          <w:szCs w:val="24"/>
        </w:rPr>
        <w:t>Bayoumi</w:t>
      </w:r>
      <w:proofErr w:type="spellEnd"/>
      <w:r w:rsidRPr="00EE1D63">
        <w:rPr>
          <w:rFonts w:asciiTheme="majorBidi" w:hAnsiTheme="majorBidi" w:cstheme="majorBidi"/>
          <w:sz w:val="24"/>
          <w:szCs w:val="24"/>
        </w:rPr>
        <w:t xml:space="preserve">, T., and </w:t>
      </w:r>
      <w:proofErr w:type="spellStart"/>
      <w:r w:rsidRPr="00EE1D63">
        <w:rPr>
          <w:rFonts w:asciiTheme="majorBidi" w:hAnsiTheme="majorBidi" w:cstheme="majorBidi"/>
          <w:sz w:val="24"/>
          <w:szCs w:val="24"/>
        </w:rPr>
        <w:t>Symansky</w:t>
      </w:r>
      <w:proofErr w:type="spellEnd"/>
      <w:r w:rsidRPr="00EE1D63">
        <w:rPr>
          <w:rFonts w:asciiTheme="majorBidi" w:hAnsiTheme="majorBidi" w:cstheme="majorBidi"/>
          <w:sz w:val="24"/>
          <w:szCs w:val="24"/>
        </w:rPr>
        <w:t>, S. (1994).</w:t>
      </w:r>
      <w:proofErr w:type="gramEnd"/>
      <w:r w:rsidRPr="00EE1D63">
        <w:rPr>
          <w:rFonts w:asciiTheme="majorBidi" w:hAnsiTheme="majorBidi" w:cstheme="majorBidi"/>
          <w:sz w:val="24"/>
          <w:szCs w:val="24"/>
        </w:rPr>
        <w:t xml:space="preserve"> Exchange Rates and Economic Fundamentals: A Framework for Analysis. IMF Occasional Paper No. 115 (Washington: International Monetary Fund).</w:t>
      </w:r>
    </w:p>
    <w:p w:rsidR="00EE1D63" w:rsidRPr="00EE1D63" w:rsidRDefault="00EE1D63" w:rsidP="00EE1D63">
      <w:pPr>
        <w:jc w:val="both"/>
        <w:rPr>
          <w:rFonts w:ascii="Times New Roman" w:hAnsi="Times New Roman"/>
          <w:bCs/>
          <w:sz w:val="24"/>
          <w:szCs w:val="24"/>
          <w:lang w:val="en-ZA"/>
        </w:rPr>
      </w:pPr>
      <w:proofErr w:type="gramStart"/>
      <w:r w:rsidRPr="00EE1D63">
        <w:rPr>
          <w:rFonts w:ascii="Times New Roman" w:hAnsi="Times New Roman"/>
          <w:bCs/>
          <w:sz w:val="24"/>
          <w:szCs w:val="24"/>
          <w:lang w:val="en-ZA"/>
        </w:rPr>
        <w:t>Clark, P.B. and R. MacDonald, (1999).</w:t>
      </w:r>
      <w:proofErr w:type="gramEnd"/>
      <w:r w:rsidRPr="00EE1D63">
        <w:rPr>
          <w:rFonts w:ascii="Times New Roman" w:hAnsi="Times New Roman"/>
          <w:bCs/>
          <w:sz w:val="24"/>
          <w:szCs w:val="24"/>
          <w:lang w:val="en-ZA"/>
        </w:rPr>
        <w:t xml:space="preserve"> “Exchange Rates and Economic Fundamentals: A Methodological Comparison of BEERs and FEERs” in R. MacDonald and J Stein (</w:t>
      </w:r>
      <w:proofErr w:type="spellStart"/>
      <w:proofErr w:type="gramStart"/>
      <w:r w:rsidRPr="00EE1D63">
        <w:rPr>
          <w:rFonts w:ascii="Times New Roman" w:hAnsi="Times New Roman"/>
          <w:bCs/>
          <w:sz w:val="24"/>
          <w:szCs w:val="24"/>
          <w:lang w:val="en-ZA"/>
        </w:rPr>
        <w:t>eds</w:t>
      </w:r>
      <w:proofErr w:type="spellEnd"/>
      <w:proofErr w:type="gramEnd"/>
      <w:r w:rsidRPr="00EE1D63">
        <w:rPr>
          <w:rFonts w:ascii="Times New Roman" w:hAnsi="Times New Roman"/>
          <w:bCs/>
          <w:sz w:val="24"/>
          <w:szCs w:val="24"/>
          <w:lang w:val="en-ZA"/>
        </w:rPr>
        <w:t>) Equilibrium Exchange Rates, Kluwer: Amsterdam. And IMF Working Paper 98/67 (Washington: International Monetary Fund, March 1998).</w:t>
      </w:r>
    </w:p>
    <w:p w:rsidR="00EE1D63" w:rsidRPr="00EE1D63" w:rsidRDefault="00EE1D63" w:rsidP="00EE1D63">
      <w:pPr>
        <w:jc w:val="both"/>
        <w:rPr>
          <w:rFonts w:ascii="Times New Roman" w:hAnsi="Times New Roman"/>
          <w:bCs/>
          <w:sz w:val="24"/>
          <w:szCs w:val="24"/>
          <w:lang w:val="en-ZA"/>
        </w:rPr>
      </w:pPr>
      <w:r w:rsidRPr="00EE1D63">
        <w:rPr>
          <w:rFonts w:ascii="Times New Roman" w:hAnsi="Times New Roman"/>
          <w:bCs/>
          <w:sz w:val="24"/>
          <w:szCs w:val="24"/>
          <w:lang w:val="en-ZA"/>
        </w:rPr>
        <w:lastRenderedPageBreak/>
        <w:t xml:space="preserve">Collins, S. M. (1996). On becoming More Flexible: Exchange Rate Regimes in Latin America and the Caribbean. </w:t>
      </w:r>
      <w:proofErr w:type="gramStart"/>
      <w:r w:rsidRPr="00EE1D63">
        <w:rPr>
          <w:rFonts w:ascii="Times New Roman" w:hAnsi="Times New Roman"/>
          <w:bCs/>
          <w:sz w:val="24"/>
          <w:szCs w:val="24"/>
          <w:lang w:val="en-ZA"/>
        </w:rPr>
        <w:t>Journal of Development Economics, Vol. 51 (October), pp.117-38.</w:t>
      </w:r>
      <w:proofErr w:type="gramEnd"/>
    </w:p>
    <w:p w:rsidR="00EE1D63" w:rsidRPr="00EE1D63" w:rsidRDefault="00EE1D63" w:rsidP="00EE1D63">
      <w:pPr>
        <w:jc w:val="both"/>
        <w:rPr>
          <w:rFonts w:asciiTheme="majorBidi" w:hAnsiTheme="majorBidi" w:cstheme="majorBidi"/>
          <w:sz w:val="24"/>
          <w:szCs w:val="24"/>
        </w:rPr>
      </w:pPr>
      <w:proofErr w:type="gramStart"/>
      <w:r w:rsidRPr="00EE1D63">
        <w:rPr>
          <w:rFonts w:asciiTheme="majorBidi" w:hAnsiTheme="majorBidi" w:cstheme="majorBidi"/>
          <w:sz w:val="24"/>
          <w:szCs w:val="24"/>
        </w:rPr>
        <w:t xml:space="preserve">De Gregorio, J., </w:t>
      </w:r>
      <w:proofErr w:type="spellStart"/>
      <w:r w:rsidRPr="00EE1D63">
        <w:rPr>
          <w:rFonts w:asciiTheme="majorBidi" w:hAnsiTheme="majorBidi" w:cstheme="majorBidi"/>
          <w:sz w:val="24"/>
          <w:szCs w:val="24"/>
        </w:rPr>
        <w:t>Giovannini</w:t>
      </w:r>
      <w:proofErr w:type="spellEnd"/>
      <w:r w:rsidRPr="00EE1D63">
        <w:rPr>
          <w:rFonts w:asciiTheme="majorBidi" w:hAnsiTheme="majorBidi" w:cstheme="majorBidi"/>
          <w:sz w:val="24"/>
          <w:szCs w:val="24"/>
        </w:rPr>
        <w:t>, A., and Wolf, H. (1994).</w:t>
      </w:r>
      <w:proofErr w:type="gramEnd"/>
      <w:r w:rsidRPr="00EE1D63">
        <w:rPr>
          <w:rFonts w:asciiTheme="majorBidi" w:hAnsiTheme="majorBidi" w:cstheme="majorBidi"/>
          <w:sz w:val="24"/>
          <w:szCs w:val="24"/>
        </w:rPr>
        <w:t xml:space="preserve"> </w:t>
      </w:r>
      <w:proofErr w:type="gramStart"/>
      <w:r w:rsidRPr="00EE1D63">
        <w:rPr>
          <w:rFonts w:asciiTheme="majorBidi" w:hAnsiTheme="majorBidi" w:cstheme="majorBidi"/>
          <w:sz w:val="24"/>
          <w:szCs w:val="24"/>
        </w:rPr>
        <w:t>International Evidence on Tradables and Nontradables Inflation.</w:t>
      </w:r>
      <w:proofErr w:type="gramEnd"/>
      <w:r w:rsidRPr="00EE1D63">
        <w:rPr>
          <w:rFonts w:asciiTheme="majorBidi" w:hAnsiTheme="majorBidi" w:cstheme="majorBidi"/>
          <w:sz w:val="24"/>
          <w:szCs w:val="24"/>
        </w:rPr>
        <w:t xml:space="preserve"> </w:t>
      </w:r>
      <w:proofErr w:type="gramStart"/>
      <w:r w:rsidRPr="00EE1D63">
        <w:rPr>
          <w:rFonts w:asciiTheme="majorBidi" w:hAnsiTheme="majorBidi" w:cstheme="majorBidi"/>
          <w:sz w:val="24"/>
          <w:szCs w:val="24"/>
        </w:rPr>
        <w:t>European Economic Review, Vol. 38 (June), Pp. 1225-44.</w:t>
      </w:r>
      <w:proofErr w:type="gramEnd"/>
    </w:p>
    <w:p w:rsidR="00EE1D63" w:rsidRPr="00EE1D63" w:rsidRDefault="00EE1D63" w:rsidP="00EE1D63">
      <w:pPr>
        <w:jc w:val="both"/>
        <w:rPr>
          <w:rFonts w:ascii="Times New Roman" w:hAnsi="Times New Roman"/>
          <w:sz w:val="24"/>
          <w:szCs w:val="24"/>
        </w:rPr>
      </w:pPr>
      <w:r w:rsidRPr="00EE1D63">
        <w:rPr>
          <w:rFonts w:ascii="Times New Roman" w:hAnsi="Times New Roman"/>
          <w:sz w:val="24"/>
          <w:szCs w:val="24"/>
        </w:rPr>
        <w:t xml:space="preserve">De </w:t>
      </w:r>
      <w:proofErr w:type="spellStart"/>
      <w:r w:rsidRPr="00EE1D63">
        <w:rPr>
          <w:rFonts w:ascii="Times New Roman" w:hAnsi="Times New Roman"/>
          <w:sz w:val="24"/>
          <w:szCs w:val="24"/>
        </w:rPr>
        <w:t>Kock</w:t>
      </w:r>
      <w:proofErr w:type="spellEnd"/>
      <w:r w:rsidRPr="00EE1D63">
        <w:rPr>
          <w:rFonts w:ascii="Times New Roman" w:hAnsi="Times New Roman"/>
          <w:sz w:val="24"/>
          <w:szCs w:val="24"/>
        </w:rPr>
        <w:t xml:space="preserve">, G. (1985). </w:t>
      </w:r>
      <w:proofErr w:type="gramStart"/>
      <w:r w:rsidRPr="00EE1D63">
        <w:rPr>
          <w:rFonts w:ascii="Times New Roman" w:hAnsi="Times New Roman"/>
          <w:sz w:val="24"/>
          <w:szCs w:val="24"/>
        </w:rPr>
        <w:t>Commission of Inquiry into the Monetary System and Monetary Policy in South Africa, Final Report, Government Printer, Pretoria.</w:t>
      </w:r>
      <w:proofErr w:type="gramEnd"/>
    </w:p>
    <w:p w:rsidR="00EE1D63" w:rsidRPr="00EE1D63" w:rsidRDefault="00EE1D63" w:rsidP="00EE1D63">
      <w:pPr>
        <w:jc w:val="both"/>
        <w:rPr>
          <w:rFonts w:asciiTheme="majorBidi" w:hAnsiTheme="majorBidi" w:cstheme="majorBidi"/>
          <w:sz w:val="24"/>
          <w:szCs w:val="24"/>
        </w:rPr>
      </w:pPr>
      <w:r w:rsidRPr="00EE1D63">
        <w:rPr>
          <w:rFonts w:asciiTheme="majorBidi" w:hAnsiTheme="majorBidi" w:cstheme="majorBidi"/>
          <w:sz w:val="24"/>
          <w:szCs w:val="24"/>
        </w:rPr>
        <w:t>Driver, R., and Wren-Lewis, S. (1997). Real Exchange Rates in the Year 200 (Washington: Institute for International Economics).</w:t>
      </w:r>
    </w:p>
    <w:p w:rsidR="00EE1D63" w:rsidRPr="00EE1D63" w:rsidRDefault="00EE1D63" w:rsidP="00EE1D63">
      <w:pPr>
        <w:jc w:val="both"/>
        <w:rPr>
          <w:rFonts w:asciiTheme="majorBidi" w:hAnsiTheme="majorBidi" w:cstheme="majorBidi"/>
          <w:sz w:val="24"/>
          <w:szCs w:val="24"/>
        </w:rPr>
      </w:pPr>
      <w:r w:rsidRPr="00EE1D63">
        <w:rPr>
          <w:rFonts w:asciiTheme="majorBidi" w:hAnsiTheme="majorBidi" w:cstheme="majorBidi"/>
          <w:sz w:val="24"/>
          <w:szCs w:val="24"/>
        </w:rPr>
        <w:t xml:space="preserve">Edwards, S. (1994). “Real Monetary Determinants of Real Exchange Rate </w:t>
      </w:r>
      <w:proofErr w:type="spellStart"/>
      <w:r w:rsidRPr="00EE1D63">
        <w:rPr>
          <w:rFonts w:asciiTheme="majorBidi" w:hAnsiTheme="majorBidi" w:cstheme="majorBidi"/>
          <w:sz w:val="24"/>
          <w:szCs w:val="24"/>
        </w:rPr>
        <w:t>Behavior</w:t>
      </w:r>
      <w:proofErr w:type="spellEnd"/>
      <w:r w:rsidRPr="00EE1D63">
        <w:rPr>
          <w:rFonts w:asciiTheme="majorBidi" w:hAnsiTheme="majorBidi" w:cstheme="majorBidi"/>
          <w:sz w:val="24"/>
          <w:szCs w:val="24"/>
        </w:rPr>
        <w:t>: Theory and Evidence from Developing Countries,” in Estimating Equilibrium Exchange Rates, ed. by J. Williamson (Washington: Institute for International Economics).</w:t>
      </w:r>
    </w:p>
    <w:p w:rsidR="00EE1D63" w:rsidRPr="00EE1D63" w:rsidRDefault="00EE1D63" w:rsidP="00EE1D63">
      <w:pPr>
        <w:jc w:val="both"/>
        <w:rPr>
          <w:rFonts w:ascii="Times New Roman" w:hAnsi="Times New Roman"/>
          <w:bCs/>
          <w:sz w:val="24"/>
          <w:szCs w:val="24"/>
          <w:lang w:val="en-ZA"/>
        </w:rPr>
      </w:pPr>
      <w:r w:rsidRPr="00EE1D63">
        <w:rPr>
          <w:rFonts w:ascii="Times New Roman" w:hAnsi="Times New Roman"/>
          <w:bCs/>
          <w:sz w:val="24"/>
          <w:szCs w:val="24"/>
          <w:lang w:val="en-ZA"/>
        </w:rPr>
        <w:t>Edwards, S. (1996). The Determinants of the Choice between Fixed and Flexible Exchange  Rate Regimes, NBER Working Paper No. 5756, National Bureau of Economic Research, Cambridge, MA.</w:t>
      </w:r>
    </w:p>
    <w:p w:rsidR="00EE1D63" w:rsidRPr="00EE1D63" w:rsidRDefault="00EE1D63" w:rsidP="00EE1D63">
      <w:pPr>
        <w:jc w:val="both"/>
        <w:rPr>
          <w:rFonts w:asciiTheme="majorBidi" w:hAnsiTheme="majorBidi" w:cstheme="majorBidi"/>
          <w:sz w:val="24"/>
          <w:szCs w:val="24"/>
        </w:rPr>
      </w:pPr>
      <w:proofErr w:type="spellStart"/>
      <w:proofErr w:type="gramStart"/>
      <w:r w:rsidRPr="00EE1D63">
        <w:rPr>
          <w:rFonts w:asciiTheme="majorBidi" w:hAnsiTheme="majorBidi" w:cstheme="majorBidi"/>
          <w:sz w:val="24"/>
          <w:szCs w:val="24"/>
        </w:rPr>
        <w:t>Elbadawi</w:t>
      </w:r>
      <w:proofErr w:type="spellEnd"/>
      <w:r w:rsidRPr="00EE1D63">
        <w:rPr>
          <w:rFonts w:asciiTheme="majorBidi" w:hAnsiTheme="majorBidi" w:cstheme="majorBidi"/>
          <w:sz w:val="24"/>
          <w:szCs w:val="24"/>
        </w:rPr>
        <w:t>, I., and Soto, R. (1994).</w:t>
      </w:r>
      <w:proofErr w:type="gramEnd"/>
      <w:r w:rsidRPr="00EE1D63">
        <w:rPr>
          <w:rFonts w:asciiTheme="majorBidi" w:hAnsiTheme="majorBidi" w:cstheme="majorBidi"/>
          <w:sz w:val="24"/>
          <w:szCs w:val="24"/>
        </w:rPr>
        <w:t xml:space="preserve"> Capital Flows and Long-Term Equilibrium Real Exchange Rates: Chile (Unpublished, Washington: World Bank).</w:t>
      </w:r>
    </w:p>
    <w:p w:rsidR="00EE1D63" w:rsidRPr="00EE1D63" w:rsidRDefault="00EE1D63" w:rsidP="00EE1D63">
      <w:pPr>
        <w:jc w:val="both"/>
        <w:rPr>
          <w:rFonts w:asciiTheme="majorBidi" w:hAnsiTheme="majorBidi" w:cstheme="majorBidi"/>
          <w:sz w:val="24"/>
          <w:szCs w:val="24"/>
        </w:rPr>
      </w:pPr>
      <w:proofErr w:type="gramStart"/>
      <w:r w:rsidRPr="00EE1D63">
        <w:rPr>
          <w:rFonts w:asciiTheme="majorBidi" w:hAnsiTheme="majorBidi" w:cstheme="majorBidi"/>
          <w:sz w:val="24"/>
          <w:szCs w:val="24"/>
        </w:rPr>
        <w:t>Elliot, G., Rothenberg, T. J., and Stock, H. (1996).</w:t>
      </w:r>
      <w:proofErr w:type="gramEnd"/>
      <w:r w:rsidRPr="00EE1D63">
        <w:rPr>
          <w:rFonts w:asciiTheme="majorBidi" w:hAnsiTheme="majorBidi" w:cstheme="majorBidi"/>
          <w:sz w:val="24"/>
          <w:szCs w:val="24"/>
        </w:rPr>
        <w:t xml:space="preserve"> </w:t>
      </w:r>
      <w:proofErr w:type="gramStart"/>
      <w:r w:rsidRPr="00EE1D63">
        <w:rPr>
          <w:rFonts w:asciiTheme="majorBidi" w:hAnsiTheme="majorBidi" w:cstheme="majorBidi"/>
          <w:sz w:val="24"/>
          <w:szCs w:val="24"/>
        </w:rPr>
        <w:t>Efficient Tests for an Autoregressive Unit Root.</w:t>
      </w:r>
      <w:proofErr w:type="gramEnd"/>
      <w:r w:rsidRPr="00EE1D63">
        <w:rPr>
          <w:rFonts w:asciiTheme="majorBidi" w:hAnsiTheme="majorBidi" w:cstheme="majorBidi"/>
          <w:sz w:val="24"/>
          <w:szCs w:val="24"/>
        </w:rPr>
        <w:t xml:space="preserve"> </w:t>
      </w:r>
      <w:proofErr w:type="spellStart"/>
      <w:r w:rsidRPr="00EE1D63">
        <w:rPr>
          <w:rFonts w:asciiTheme="majorBidi" w:hAnsiTheme="majorBidi" w:cstheme="majorBidi"/>
          <w:sz w:val="24"/>
          <w:szCs w:val="24"/>
        </w:rPr>
        <w:t>Econometrica</w:t>
      </w:r>
      <w:proofErr w:type="spellEnd"/>
      <w:r w:rsidRPr="00EE1D63">
        <w:rPr>
          <w:rFonts w:asciiTheme="majorBidi" w:hAnsiTheme="majorBidi" w:cstheme="majorBidi"/>
          <w:sz w:val="24"/>
          <w:szCs w:val="24"/>
        </w:rPr>
        <w:t xml:space="preserve"> 64: 813-836.</w:t>
      </w:r>
    </w:p>
    <w:p w:rsidR="00EE1D63" w:rsidRPr="00EE1D63" w:rsidRDefault="00EE1D63" w:rsidP="00EE1D63">
      <w:pPr>
        <w:jc w:val="both"/>
        <w:rPr>
          <w:rFonts w:ascii="Times New Roman" w:hAnsi="Times New Roman"/>
          <w:bCs/>
          <w:sz w:val="24"/>
          <w:szCs w:val="24"/>
          <w:lang w:val="en-ZA"/>
        </w:rPr>
      </w:pPr>
      <w:r w:rsidRPr="00EE1D63">
        <w:rPr>
          <w:rFonts w:ascii="Times New Roman" w:hAnsi="Times New Roman"/>
          <w:bCs/>
          <w:sz w:val="24"/>
          <w:szCs w:val="24"/>
          <w:lang w:val="en-ZA"/>
        </w:rPr>
        <w:t>Frankel, J. (1995). Monetary Regime Choice for a Semi-Open Country, in Capital Controls, Exchange Rates and Monetary Policy in the World Economy, edited by Sebastian Edwards, (Cambridge, England: Cambridge University Press).</w:t>
      </w:r>
    </w:p>
    <w:p w:rsidR="00EE1D63" w:rsidRPr="00EE1D63" w:rsidRDefault="00EE1D63" w:rsidP="00EE1D63">
      <w:pPr>
        <w:jc w:val="both"/>
        <w:rPr>
          <w:rFonts w:asciiTheme="majorBidi" w:hAnsiTheme="majorBidi" w:cstheme="majorBidi"/>
          <w:sz w:val="24"/>
          <w:szCs w:val="24"/>
        </w:rPr>
      </w:pPr>
      <w:r w:rsidRPr="00EE1D63">
        <w:rPr>
          <w:rFonts w:asciiTheme="majorBidi" w:hAnsiTheme="majorBidi" w:cstheme="majorBidi"/>
          <w:sz w:val="24"/>
          <w:szCs w:val="24"/>
        </w:rPr>
        <w:t>GEM Commodities (2014). http://data.worldbank.org/data-catalog/commodity-price-data</w:t>
      </w:r>
    </w:p>
    <w:p w:rsidR="00EE1D63" w:rsidRPr="00EE1D63" w:rsidRDefault="00EE1D63" w:rsidP="00EE1D63">
      <w:pPr>
        <w:jc w:val="both"/>
        <w:rPr>
          <w:rFonts w:asciiTheme="majorBidi" w:hAnsiTheme="majorBidi" w:cstheme="majorBidi"/>
          <w:sz w:val="24"/>
          <w:szCs w:val="24"/>
        </w:rPr>
      </w:pPr>
      <w:proofErr w:type="spellStart"/>
      <w:proofErr w:type="gramStart"/>
      <w:r w:rsidRPr="00EE1D63">
        <w:rPr>
          <w:rFonts w:asciiTheme="majorBidi" w:hAnsiTheme="majorBidi" w:cstheme="majorBidi"/>
          <w:sz w:val="24"/>
          <w:szCs w:val="24"/>
        </w:rPr>
        <w:t>Ghei</w:t>
      </w:r>
      <w:proofErr w:type="spellEnd"/>
      <w:r w:rsidRPr="00EE1D63">
        <w:rPr>
          <w:rFonts w:asciiTheme="majorBidi" w:hAnsiTheme="majorBidi" w:cstheme="majorBidi"/>
          <w:sz w:val="24"/>
          <w:szCs w:val="24"/>
        </w:rPr>
        <w:t>, N., and Pritchett, L. (1999).</w:t>
      </w:r>
      <w:proofErr w:type="gramEnd"/>
      <w:r w:rsidRPr="00EE1D63">
        <w:rPr>
          <w:rFonts w:asciiTheme="majorBidi" w:hAnsiTheme="majorBidi" w:cstheme="majorBidi"/>
          <w:sz w:val="24"/>
          <w:szCs w:val="24"/>
        </w:rPr>
        <w:t xml:space="preserve"> “The Three Pessimisms: Real Exchange Rates and Trade Flows in Developing Countries,” in Exchange Rate Misalignment: Concepts and Measurement for Developing Countries, ed. by L. Hinkle and P. </w:t>
      </w:r>
      <w:proofErr w:type="spellStart"/>
      <w:r w:rsidRPr="00EE1D63">
        <w:rPr>
          <w:rFonts w:asciiTheme="majorBidi" w:hAnsiTheme="majorBidi" w:cstheme="majorBidi"/>
          <w:sz w:val="24"/>
          <w:szCs w:val="24"/>
        </w:rPr>
        <w:t>Montiel</w:t>
      </w:r>
      <w:proofErr w:type="spellEnd"/>
      <w:r w:rsidRPr="00EE1D63">
        <w:rPr>
          <w:rFonts w:asciiTheme="majorBidi" w:hAnsiTheme="majorBidi" w:cstheme="majorBidi"/>
          <w:sz w:val="24"/>
          <w:szCs w:val="24"/>
        </w:rPr>
        <w:t xml:space="preserve"> (New York: Oxford University Press for the World Bank).</w:t>
      </w:r>
    </w:p>
    <w:p w:rsidR="00EE1D63" w:rsidRPr="00EE1D63" w:rsidRDefault="00EE1D63" w:rsidP="00EE1D63">
      <w:pPr>
        <w:jc w:val="both"/>
        <w:rPr>
          <w:rFonts w:asciiTheme="majorBidi" w:hAnsiTheme="majorBidi" w:cstheme="majorBidi"/>
          <w:sz w:val="24"/>
          <w:szCs w:val="24"/>
        </w:rPr>
      </w:pPr>
      <w:proofErr w:type="spellStart"/>
      <w:proofErr w:type="gramStart"/>
      <w:r w:rsidRPr="00EE1D63">
        <w:rPr>
          <w:rFonts w:asciiTheme="majorBidi" w:hAnsiTheme="majorBidi" w:cstheme="majorBidi"/>
          <w:sz w:val="24"/>
          <w:szCs w:val="24"/>
        </w:rPr>
        <w:t>Goldfajn</w:t>
      </w:r>
      <w:proofErr w:type="spellEnd"/>
      <w:r w:rsidRPr="00EE1D63">
        <w:rPr>
          <w:rFonts w:asciiTheme="majorBidi" w:hAnsiTheme="majorBidi" w:cstheme="majorBidi"/>
          <w:sz w:val="24"/>
          <w:szCs w:val="24"/>
        </w:rPr>
        <w:t>, I., and Valdes, R. (1999).</w:t>
      </w:r>
      <w:proofErr w:type="gramEnd"/>
      <w:r w:rsidRPr="00EE1D63">
        <w:rPr>
          <w:rFonts w:asciiTheme="majorBidi" w:hAnsiTheme="majorBidi" w:cstheme="majorBidi"/>
          <w:sz w:val="24"/>
          <w:szCs w:val="24"/>
        </w:rPr>
        <w:t xml:space="preserve"> The Aftermath of Appreciations,” Quarterly Journal of Economics, Vol. 114 (February), Pp. 229–62.</w:t>
      </w:r>
    </w:p>
    <w:p w:rsidR="00EE1D63" w:rsidRPr="00EE1D63" w:rsidRDefault="00EE1D63" w:rsidP="00EE1D63">
      <w:pPr>
        <w:jc w:val="both"/>
        <w:rPr>
          <w:rFonts w:asciiTheme="majorBidi" w:hAnsiTheme="majorBidi" w:cstheme="majorBidi"/>
          <w:sz w:val="24"/>
          <w:szCs w:val="24"/>
        </w:rPr>
      </w:pPr>
      <w:proofErr w:type="gramStart"/>
      <w:r w:rsidRPr="00EE1D63">
        <w:rPr>
          <w:rFonts w:asciiTheme="majorBidi" w:hAnsiTheme="majorBidi" w:cstheme="majorBidi"/>
          <w:sz w:val="24"/>
          <w:szCs w:val="24"/>
        </w:rPr>
        <w:t>Government of Botswana (1985).</w:t>
      </w:r>
      <w:proofErr w:type="gramEnd"/>
      <w:r w:rsidRPr="00EE1D63">
        <w:rPr>
          <w:rFonts w:asciiTheme="majorBidi" w:hAnsiTheme="majorBidi" w:cstheme="majorBidi"/>
          <w:sz w:val="24"/>
          <w:szCs w:val="24"/>
        </w:rPr>
        <w:t xml:space="preserve"> </w:t>
      </w:r>
      <w:proofErr w:type="gramStart"/>
      <w:r w:rsidRPr="00EE1D63">
        <w:rPr>
          <w:rFonts w:asciiTheme="majorBidi" w:hAnsiTheme="majorBidi" w:cstheme="majorBidi"/>
          <w:sz w:val="24"/>
          <w:szCs w:val="24"/>
        </w:rPr>
        <w:t>National Development Plan 6 1984/85 - 1990/91.</w:t>
      </w:r>
      <w:proofErr w:type="gramEnd"/>
      <w:r w:rsidRPr="00EE1D63">
        <w:rPr>
          <w:rFonts w:asciiTheme="majorBidi" w:hAnsiTheme="majorBidi" w:cstheme="majorBidi"/>
          <w:sz w:val="24"/>
          <w:szCs w:val="24"/>
        </w:rPr>
        <w:t xml:space="preserve"> Gaborone: Government of Botswana.</w:t>
      </w:r>
    </w:p>
    <w:p w:rsidR="00EE1D63" w:rsidRPr="00EE1D63" w:rsidRDefault="00EE1D63" w:rsidP="00EE1D63">
      <w:pPr>
        <w:jc w:val="both"/>
        <w:rPr>
          <w:rFonts w:ascii="Times New Roman" w:hAnsi="Times New Roman"/>
          <w:bCs/>
          <w:sz w:val="24"/>
          <w:szCs w:val="24"/>
          <w:lang w:val="en-ZA"/>
        </w:rPr>
      </w:pPr>
      <w:r w:rsidRPr="005F0847">
        <w:rPr>
          <w:rFonts w:ascii="Times New Roman" w:hAnsi="Times New Roman"/>
          <w:bCs/>
          <w:sz w:val="24"/>
          <w:szCs w:val="24"/>
          <w:lang w:val="de-DE"/>
        </w:rPr>
        <w:lastRenderedPageBreak/>
        <w:t xml:space="preserve">Hausmann, R., Panizza, U., and Stein, E. (2001). </w:t>
      </w:r>
      <w:r w:rsidRPr="00EE1D63">
        <w:rPr>
          <w:rFonts w:ascii="Times New Roman" w:hAnsi="Times New Roman"/>
          <w:bCs/>
          <w:sz w:val="24"/>
          <w:szCs w:val="24"/>
          <w:lang w:val="en-ZA"/>
        </w:rPr>
        <w:t xml:space="preserve">Why do Countries Float the Way they </w:t>
      </w:r>
      <w:proofErr w:type="gramStart"/>
      <w:r w:rsidRPr="00EE1D63">
        <w:rPr>
          <w:rFonts w:ascii="Times New Roman" w:hAnsi="Times New Roman"/>
          <w:bCs/>
          <w:sz w:val="24"/>
          <w:szCs w:val="24"/>
          <w:lang w:val="en-ZA"/>
        </w:rPr>
        <w:t>Float</w:t>
      </w:r>
      <w:proofErr w:type="gramEnd"/>
      <w:r w:rsidRPr="00EE1D63">
        <w:rPr>
          <w:rFonts w:ascii="Times New Roman" w:hAnsi="Times New Roman"/>
          <w:bCs/>
          <w:sz w:val="24"/>
          <w:szCs w:val="24"/>
          <w:lang w:val="en-ZA"/>
        </w:rPr>
        <w:t>? Journal of Development Economics, Vol. 66 (December), pp. 387-414.</w:t>
      </w:r>
    </w:p>
    <w:p w:rsidR="00EE1D63" w:rsidRPr="00EE1D63" w:rsidRDefault="00EE1D63" w:rsidP="00EE1D63">
      <w:pPr>
        <w:jc w:val="both"/>
        <w:rPr>
          <w:rFonts w:asciiTheme="majorBidi" w:hAnsiTheme="majorBidi" w:cstheme="majorBidi"/>
          <w:sz w:val="24"/>
          <w:szCs w:val="24"/>
        </w:rPr>
      </w:pPr>
      <w:proofErr w:type="gramStart"/>
      <w:r w:rsidRPr="00EE1D63">
        <w:rPr>
          <w:rFonts w:asciiTheme="majorBidi" w:hAnsiTheme="majorBidi" w:cstheme="majorBidi"/>
          <w:sz w:val="24"/>
          <w:szCs w:val="24"/>
        </w:rPr>
        <w:t xml:space="preserve">Hinkle, L., and </w:t>
      </w:r>
      <w:proofErr w:type="spellStart"/>
      <w:r w:rsidRPr="00EE1D63">
        <w:rPr>
          <w:rFonts w:asciiTheme="majorBidi" w:hAnsiTheme="majorBidi" w:cstheme="majorBidi"/>
          <w:sz w:val="24"/>
          <w:szCs w:val="24"/>
        </w:rPr>
        <w:t>Montiel</w:t>
      </w:r>
      <w:proofErr w:type="spellEnd"/>
      <w:r w:rsidRPr="00EE1D63">
        <w:rPr>
          <w:rFonts w:asciiTheme="majorBidi" w:hAnsiTheme="majorBidi" w:cstheme="majorBidi"/>
          <w:sz w:val="24"/>
          <w:szCs w:val="24"/>
        </w:rPr>
        <w:t>, P. J. (1999).</w:t>
      </w:r>
      <w:proofErr w:type="gramEnd"/>
      <w:r w:rsidRPr="00EE1D63">
        <w:rPr>
          <w:rFonts w:asciiTheme="majorBidi" w:hAnsiTheme="majorBidi" w:cstheme="majorBidi"/>
          <w:sz w:val="24"/>
          <w:szCs w:val="24"/>
        </w:rPr>
        <w:t xml:space="preserve"> Estimating Equilibrium Real Exchange Rates in Developing Countries (New York: Oxford University Press for the World Bank).</w:t>
      </w:r>
    </w:p>
    <w:p w:rsidR="00EE1D63" w:rsidRPr="00EE1D63" w:rsidRDefault="00EE1D63" w:rsidP="00EE1D63">
      <w:pPr>
        <w:jc w:val="both"/>
        <w:rPr>
          <w:rFonts w:asciiTheme="majorBidi" w:hAnsiTheme="majorBidi" w:cstheme="majorBidi"/>
          <w:sz w:val="24"/>
          <w:szCs w:val="24"/>
        </w:rPr>
      </w:pPr>
      <w:proofErr w:type="spellStart"/>
      <w:proofErr w:type="gramStart"/>
      <w:r w:rsidRPr="00EE1D63">
        <w:rPr>
          <w:rFonts w:asciiTheme="majorBidi" w:hAnsiTheme="majorBidi" w:cstheme="majorBidi"/>
          <w:sz w:val="24"/>
          <w:szCs w:val="24"/>
        </w:rPr>
        <w:t>Hodrick</w:t>
      </w:r>
      <w:proofErr w:type="spellEnd"/>
      <w:r w:rsidRPr="00EE1D63">
        <w:rPr>
          <w:rFonts w:asciiTheme="majorBidi" w:hAnsiTheme="majorBidi" w:cstheme="majorBidi"/>
          <w:sz w:val="24"/>
          <w:szCs w:val="24"/>
        </w:rPr>
        <w:t>, R., and Prescott, E. C. (1997).</w:t>
      </w:r>
      <w:proofErr w:type="gramEnd"/>
      <w:r w:rsidRPr="00EE1D63">
        <w:rPr>
          <w:rFonts w:asciiTheme="majorBidi" w:hAnsiTheme="majorBidi" w:cstheme="majorBidi"/>
          <w:sz w:val="24"/>
          <w:szCs w:val="24"/>
        </w:rPr>
        <w:t xml:space="preserve"> </w:t>
      </w:r>
      <w:proofErr w:type="spellStart"/>
      <w:r w:rsidRPr="00EE1D63">
        <w:rPr>
          <w:rFonts w:asciiTheme="majorBidi" w:hAnsiTheme="majorBidi" w:cstheme="majorBidi"/>
          <w:sz w:val="24"/>
          <w:szCs w:val="24"/>
        </w:rPr>
        <w:t>Postwar</w:t>
      </w:r>
      <w:proofErr w:type="spellEnd"/>
      <w:r w:rsidRPr="00EE1D63">
        <w:rPr>
          <w:rFonts w:asciiTheme="majorBidi" w:hAnsiTheme="majorBidi" w:cstheme="majorBidi"/>
          <w:sz w:val="24"/>
          <w:szCs w:val="24"/>
        </w:rPr>
        <w:t xml:space="preserve"> U.S. Business Cycles: An Empirical Investigation. Journal of Money, Credit, and Banking 29 (1): 1–16.</w:t>
      </w:r>
    </w:p>
    <w:p w:rsidR="00EE1D63" w:rsidRPr="00EE1D63" w:rsidRDefault="00EE1D63" w:rsidP="00EE1D63">
      <w:pPr>
        <w:jc w:val="both"/>
      </w:pPr>
      <w:proofErr w:type="gramStart"/>
      <w:r w:rsidRPr="00EE1D63">
        <w:rPr>
          <w:rFonts w:asciiTheme="majorBidi" w:hAnsiTheme="majorBidi" w:cstheme="majorBidi"/>
          <w:sz w:val="24"/>
          <w:szCs w:val="24"/>
        </w:rPr>
        <w:t>Imam, P. and Minoiu, C. (2011).</w:t>
      </w:r>
      <w:proofErr w:type="gramEnd"/>
      <w:r w:rsidRPr="00EE1D63">
        <w:rPr>
          <w:rFonts w:asciiTheme="majorBidi" w:hAnsiTheme="majorBidi" w:cstheme="majorBidi"/>
          <w:sz w:val="24"/>
          <w:szCs w:val="24"/>
        </w:rPr>
        <w:t xml:space="preserve"> The Equilibrium Exchange Rate of Mauritius: Evidence from Two Structural Models. Emerging Markets Finance &amp; Trade / November–December 2011, Vol. 47, No. 6, pp. 134–147.</w:t>
      </w:r>
      <w:r w:rsidRPr="00EE1D63">
        <w:t xml:space="preserve"> </w:t>
      </w:r>
    </w:p>
    <w:p w:rsidR="00EE1D63" w:rsidRPr="00EE1D63" w:rsidRDefault="00EE1D63" w:rsidP="00EE1D63">
      <w:pPr>
        <w:jc w:val="both"/>
        <w:rPr>
          <w:rFonts w:asciiTheme="majorBidi" w:hAnsiTheme="majorBidi" w:cstheme="majorBidi"/>
          <w:sz w:val="24"/>
          <w:szCs w:val="24"/>
        </w:rPr>
      </w:pPr>
      <w:proofErr w:type="spellStart"/>
      <w:proofErr w:type="gramStart"/>
      <w:r w:rsidRPr="00EE1D63">
        <w:rPr>
          <w:rFonts w:asciiTheme="majorBidi" w:hAnsiTheme="majorBidi" w:cstheme="majorBidi"/>
          <w:sz w:val="24"/>
          <w:szCs w:val="24"/>
        </w:rPr>
        <w:t>Isard</w:t>
      </w:r>
      <w:proofErr w:type="spellEnd"/>
      <w:r w:rsidRPr="00EE1D63">
        <w:rPr>
          <w:rFonts w:asciiTheme="majorBidi" w:hAnsiTheme="majorBidi" w:cstheme="majorBidi"/>
          <w:sz w:val="24"/>
          <w:szCs w:val="24"/>
        </w:rPr>
        <w:t>, W. (1954).</w:t>
      </w:r>
      <w:proofErr w:type="gramEnd"/>
      <w:r w:rsidRPr="00EE1D63">
        <w:rPr>
          <w:rFonts w:asciiTheme="majorBidi" w:hAnsiTheme="majorBidi" w:cstheme="majorBidi"/>
          <w:sz w:val="24"/>
          <w:szCs w:val="24"/>
        </w:rPr>
        <w:t xml:space="preserve"> Location Theory and Trade Theory: Short-Run Analysis. Quarterly Journal of Economics, 68, 305-322.</w:t>
      </w:r>
    </w:p>
    <w:p w:rsidR="00EE1D63" w:rsidRPr="00EE1D63" w:rsidRDefault="00EE1D63" w:rsidP="00EE1D63">
      <w:pPr>
        <w:jc w:val="both"/>
        <w:rPr>
          <w:rFonts w:asciiTheme="majorBidi" w:hAnsiTheme="majorBidi" w:cstheme="majorBidi"/>
          <w:sz w:val="24"/>
          <w:szCs w:val="24"/>
        </w:rPr>
      </w:pPr>
      <w:proofErr w:type="spellStart"/>
      <w:proofErr w:type="gramStart"/>
      <w:r w:rsidRPr="00EE1D63">
        <w:rPr>
          <w:rFonts w:asciiTheme="majorBidi" w:hAnsiTheme="majorBidi" w:cstheme="majorBidi"/>
          <w:sz w:val="24"/>
          <w:szCs w:val="24"/>
        </w:rPr>
        <w:t>Jefferis</w:t>
      </w:r>
      <w:proofErr w:type="spellEnd"/>
      <w:r w:rsidRPr="00EE1D63">
        <w:rPr>
          <w:rFonts w:asciiTheme="majorBidi" w:hAnsiTheme="majorBidi" w:cstheme="majorBidi"/>
          <w:sz w:val="24"/>
          <w:szCs w:val="24"/>
        </w:rPr>
        <w:t>, K. R. and Harvey, C. (1995).</w:t>
      </w:r>
      <w:proofErr w:type="gramEnd"/>
      <w:r w:rsidRPr="00EE1D63">
        <w:rPr>
          <w:rFonts w:asciiTheme="majorBidi" w:hAnsiTheme="majorBidi" w:cstheme="majorBidi"/>
          <w:sz w:val="24"/>
          <w:szCs w:val="24"/>
        </w:rPr>
        <w:t xml:space="preserve"> Botswana’s Exchange Controls: Abolition or Liberalization? Development Policy Review, Vol. 13: 277-305.</w:t>
      </w:r>
    </w:p>
    <w:p w:rsidR="00EE1D63" w:rsidRPr="00EE1D63" w:rsidRDefault="00EE1D63" w:rsidP="00EE1D63">
      <w:pPr>
        <w:jc w:val="both"/>
        <w:rPr>
          <w:rFonts w:asciiTheme="majorBidi" w:hAnsiTheme="majorBidi" w:cstheme="majorBidi"/>
          <w:sz w:val="24"/>
          <w:szCs w:val="24"/>
        </w:rPr>
      </w:pPr>
      <w:r w:rsidRPr="005F0847">
        <w:rPr>
          <w:rFonts w:asciiTheme="majorBidi" w:hAnsiTheme="majorBidi" w:cstheme="majorBidi"/>
          <w:sz w:val="24"/>
          <w:szCs w:val="24"/>
          <w:lang w:val="it-IT"/>
        </w:rPr>
        <w:t xml:space="preserve">Lane, P. R., and Milesi-Ferretti, G. M. (2000). </w:t>
      </w:r>
      <w:proofErr w:type="gramStart"/>
      <w:r w:rsidRPr="00EE1D63">
        <w:rPr>
          <w:rFonts w:asciiTheme="majorBidi" w:hAnsiTheme="majorBidi" w:cstheme="majorBidi"/>
          <w:sz w:val="24"/>
          <w:szCs w:val="24"/>
        </w:rPr>
        <w:t>Long-Term Capital Movements.</w:t>
      </w:r>
      <w:proofErr w:type="gramEnd"/>
      <w:r w:rsidRPr="00EE1D63">
        <w:rPr>
          <w:rFonts w:asciiTheme="majorBidi" w:hAnsiTheme="majorBidi" w:cstheme="majorBidi"/>
          <w:sz w:val="24"/>
          <w:szCs w:val="24"/>
        </w:rPr>
        <w:t xml:space="preserve"> NBER Working Paper No. 8366 (Cambridge, MA: National Bureau of Economic Research).</w:t>
      </w:r>
    </w:p>
    <w:p w:rsidR="00EE1D63" w:rsidRPr="00EE1D63" w:rsidRDefault="00EE1D63" w:rsidP="00EE1D63">
      <w:pPr>
        <w:jc w:val="both"/>
        <w:rPr>
          <w:rFonts w:asciiTheme="majorBidi" w:hAnsiTheme="majorBidi" w:cstheme="majorBidi"/>
          <w:sz w:val="24"/>
          <w:szCs w:val="24"/>
        </w:rPr>
      </w:pPr>
      <w:r w:rsidRPr="00EE1D63">
        <w:rPr>
          <w:rFonts w:asciiTheme="majorBidi" w:hAnsiTheme="majorBidi" w:cstheme="majorBidi"/>
          <w:sz w:val="24"/>
          <w:szCs w:val="24"/>
          <w:lang w:val="it-IT"/>
        </w:rPr>
        <w:t xml:space="preserve">Lee, J., G. M. Milesi-Ferretti, J. Ostry, A. Prati, and Ricci, L. A. (2008). </w:t>
      </w:r>
      <w:r w:rsidRPr="00EE1D63">
        <w:rPr>
          <w:rFonts w:asciiTheme="majorBidi" w:hAnsiTheme="majorBidi" w:cstheme="majorBidi"/>
          <w:sz w:val="24"/>
          <w:szCs w:val="24"/>
        </w:rPr>
        <w:t>Exchange Rate Assessments: CGER Methodologies. IMF Occasional Paper No. 261 (Washington: International Monetary Fund).</w:t>
      </w:r>
    </w:p>
    <w:p w:rsidR="00EE1D63" w:rsidRPr="00EE1D63" w:rsidRDefault="00EE1D63" w:rsidP="00EE1D63">
      <w:pPr>
        <w:jc w:val="both"/>
        <w:rPr>
          <w:rFonts w:asciiTheme="majorBidi" w:hAnsiTheme="majorBidi" w:cstheme="majorBidi"/>
          <w:sz w:val="24"/>
          <w:szCs w:val="24"/>
        </w:rPr>
      </w:pPr>
      <w:proofErr w:type="spellStart"/>
      <w:proofErr w:type="gramStart"/>
      <w:r w:rsidRPr="00EE1D63">
        <w:rPr>
          <w:rFonts w:asciiTheme="majorBidi" w:hAnsiTheme="majorBidi" w:cstheme="majorBidi"/>
          <w:sz w:val="24"/>
          <w:szCs w:val="24"/>
        </w:rPr>
        <w:t>Loayza</w:t>
      </w:r>
      <w:proofErr w:type="spellEnd"/>
      <w:r w:rsidRPr="00EE1D63">
        <w:rPr>
          <w:rFonts w:asciiTheme="majorBidi" w:hAnsiTheme="majorBidi" w:cstheme="majorBidi"/>
          <w:sz w:val="24"/>
          <w:szCs w:val="24"/>
        </w:rPr>
        <w:t>, N., and Lopez, H. J. (1997).</w:t>
      </w:r>
      <w:proofErr w:type="gramEnd"/>
      <w:r w:rsidRPr="00EE1D63">
        <w:rPr>
          <w:rFonts w:asciiTheme="majorBidi" w:hAnsiTheme="majorBidi" w:cstheme="majorBidi"/>
          <w:sz w:val="24"/>
          <w:szCs w:val="24"/>
        </w:rPr>
        <w:t xml:space="preserve"> Misalignment and Fundamentals: Equilibrium Exchange Rates in Seven Latin American Countries (Unpublished, Washington: World Bank).</w:t>
      </w:r>
    </w:p>
    <w:p w:rsidR="00EE1D63" w:rsidRPr="00EE1D63" w:rsidRDefault="00EE1D63" w:rsidP="00EE1D63">
      <w:pPr>
        <w:jc w:val="both"/>
        <w:rPr>
          <w:rFonts w:asciiTheme="majorBidi" w:hAnsiTheme="majorBidi" w:cstheme="majorBidi"/>
          <w:sz w:val="24"/>
          <w:szCs w:val="24"/>
        </w:rPr>
      </w:pPr>
      <w:r w:rsidRPr="00EE1D63">
        <w:rPr>
          <w:rFonts w:asciiTheme="majorBidi" w:hAnsiTheme="majorBidi" w:cstheme="majorBidi"/>
          <w:sz w:val="24"/>
          <w:szCs w:val="24"/>
        </w:rPr>
        <w:t xml:space="preserve">MacDonald, R. (1995). Long-run Exchange Rate </w:t>
      </w:r>
      <w:proofErr w:type="spellStart"/>
      <w:r w:rsidRPr="00EE1D63">
        <w:rPr>
          <w:rFonts w:asciiTheme="majorBidi" w:hAnsiTheme="majorBidi" w:cstheme="majorBidi"/>
          <w:sz w:val="24"/>
          <w:szCs w:val="24"/>
        </w:rPr>
        <w:t>Modeling</w:t>
      </w:r>
      <w:proofErr w:type="spellEnd"/>
      <w:r w:rsidRPr="00EE1D63">
        <w:rPr>
          <w:rFonts w:asciiTheme="majorBidi" w:hAnsiTheme="majorBidi" w:cstheme="majorBidi"/>
          <w:sz w:val="24"/>
          <w:szCs w:val="24"/>
        </w:rPr>
        <w:t>: A Survey of Recent Evidence. Staff Papers, International Monetary Fund, Vol. 42 (September), pp. 437–98.</w:t>
      </w:r>
    </w:p>
    <w:p w:rsidR="00EE1D63" w:rsidRPr="00EE1D63" w:rsidRDefault="00EE1D63" w:rsidP="00EE1D63">
      <w:pPr>
        <w:jc w:val="both"/>
        <w:rPr>
          <w:rFonts w:asciiTheme="majorBidi" w:hAnsiTheme="majorBidi" w:cstheme="majorBidi"/>
          <w:sz w:val="24"/>
          <w:szCs w:val="24"/>
        </w:rPr>
      </w:pPr>
      <w:r w:rsidRPr="00EE1D63">
        <w:rPr>
          <w:rFonts w:asciiTheme="majorBidi" w:hAnsiTheme="majorBidi" w:cstheme="majorBidi"/>
          <w:sz w:val="24"/>
          <w:szCs w:val="24"/>
        </w:rPr>
        <w:t xml:space="preserve">MacDonald, R. (2002). </w:t>
      </w:r>
      <w:proofErr w:type="gramStart"/>
      <w:r w:rsidRPr="00EE1D63">
        <w:rPr>
          <w:rFonts w:asciiTheme="majorBidi" w:hAnsiTheme="majorBidi" w:cstheme="majorBidi"/>
          <w:sz w:val="24"/>
          <w:szCs w:val="24"/>
        </w:rPr>
        <w:t>Modelling Long-Run Real Effective Exchange Rate of the New Zealand Dollar.</w:t>
      </w:r>
      <w:proofErr w:type="gramEnd"/>
      <w:r w:rsidRPr="00EE1D63">
        <w:rPr>
          <w:rFonts w:asciiTheme="majorBidi" w:hAnsiTheme="majorBidi" w:cstheme="majorBidi"/>
          <w:sz w:val="24"/>
          <w:szCs w:val="24"/>
        </w:rPr>
        <w:t xml:space="preserve"> Australian Economic Papers, Vol. 41, pp. 519-537.</w:t>
      </w:r>
    </w:p>
    <w:p w:rsidR="00EE1D63" w:rsidRPr="00EE1D63" w:rsidRDefault="00EE1D63" w:rsidP="00EE1D63">
      <w:pPr>
        <w:jc w:val="both"/>
        <w:rPr>
          <w:rFonts w:asciiTheme="majorBidi" w:hAnsiTheme="majorBidi" w:cstheme="majorBidi"/>
          <w:sz w:val="24"/>
          <w:szCs w:val="24"/>
        </w:rPr>
      </w:pPr>
      <w:proofErr w:type="gramStart"/>
      <w:r w:rsidRPr="00EE1D63">
        <w:rPr>
          <w:rFonts w:asciiTheme="majorBidi" w:hAnsiTheme="majorBidi" w:cstheme="majorBidi"/>
          <w:sz w:val="24"/>
          <w:szCs w:val="24"/>
        </w:rPr>
        <w:t>MacDonald, R., and Ricci, L. (2003).</w:t>
      </w:r>
      <w:proofErr w:type="gramEnd"/>
      <w:r w:rsidRPr="00EE1D63">
        <w:rPr>
          <w:rFonts w:asciiTheme="majorBidi" w:hAnsiTheme="majorBidi" w:cstheme="majorBidi"/>
          <w:sz w:val="24"/>
          <w:szCs w:val="24"/>
        </w:rPr>
        <w:t xml:space="preserve"> </w:t>
      </w:r>
      <w:proofErr w:type="gramStart"/>
      <w:r w:rsidRPr="00EE1D63">
        <w:rPr>
          <w:rFonts w:asciiTheme="majorBidi" w:hAnsiTheme="majorBidi" w:cstheme="majorBidi"/>
          <w:sz w:val="24"/>
          <w:szCs w:val="24"/>
        </w:rPr>
        <w:t>Estimation of the Equilibrium Real Exchange Rate for South Africa.</w:t>
      </w:r>
      <w:proofErr w:type="gramEnd"/>
      <w:r w:rsidRPr="00EE1D63">
        <w:rPr>
          <w:rFonts w:asciiTheme="majorBidi" w:hAnsiTheme="majorBidi" w:cstheme="majorBidi"/>
          <w:sz w:val="24"/>
          <w:szCs w:val="24"/>
        </w:rPr>
        <w:t xml:space="preserve"> IMF Working Paper No. 44 (Washington: International Monetary Fund).</w:t>
      </w:r>
    </w:p>
    <w:p w:rsidR="00EE1D63" w:rsidRPr="00EE1D63" w:rsidRDefault="00EE1D63" w:rsidP="00EE1D63">
      <w:pPr>
        <w:jc w:val="both"/>
        <w:rPr>
          <w:rFonts w:asciiTheme="majorBidi" w:hAnsiTheme="majorBidi" w:cstheme="majorBidi"/>
          <w:sz w:val="24"/>
          <w:szCs w:val="24"/>
        </w:rPr>
      </w:pPr>
      <w:r w:rsidRPr="00EE1D63">
        <w:rPr>
          <w:rFonts w:asciiTheme="majorBidi" w:hAnsiTheme="majorBidi" w:cstheme="majorBidi"/>
          <w:sz w:val="24"/>
          <w:szCs w:val="24"/>
        </w:rPr>
        <w:t xml:space="preserve">MacKinnon, J. G. (1996). </w:t>
      </w:r>
      <w:proofErr w:type="gramStart"/>
      <w:r w:rsidRPr="00EE1D63">
        <w:rPr>
          <w:rFonts w:asciiTheme="majorBidi" w:hAnsiTheme="majorBidi" w:cstheme="majorBidi"/>
          <w:sz w:val="24"/>
          <w:szCs w:val="24"/>
        </w:rPr>
        <w:t>Numerical Distribution Functions for Unit Root and Cointegration Tests.</w:t>
      </w:r>
      <w:proofErr w:type="gramEnd"/>
      <w:r w:rsidRPr="00EE1D63">
        <w:rPr>
          <w:rFonts w:asciiTheme="majorBidi" w:hAnsiTheme="majorBidi" w:cstheme="majorBidi"/>
          <w:sz w:val="24"/>
          <w:szCs w:val="24"/>
        </w:rPr>
        <w:t xml:space="preserve"> Journal of Applied Econometrics 11(6): 601-618.</w:t>
      </w:r>
    </w:p>
    <w:p w:rsidR="00EE1D63" w:rsidRPr="00EE1D63" w:rsidRDefault="00EE1D63" w:rsidP="00EE1D63">
      <w:pPr>
        <w:jc w:val="both"/>
        <w:rPr>
          <w:rFonts w:asciiTheme="majorBidi" w:hAnsiTheme="majorBidi" w:cstheme="majorBidi"/>
          <w:sz w:val="24"/>
          <w:szCs w:val="24"/>
        </w:rPr>
      </w:pPr>
      <w:proofErr w:type="spellStart"/>
      <w:proofErr w:type="gramStart"/>
      <w:r w:rsidRPr="00EE1D63">
        <w:rPr>
          <w:rFonts w:asciiTheme="majorBidi" w:hAnsiTheme="majorBidi" w:cstheme="majorBidi"/>
          <w:sz w:val="24"/>
          <w:szCs w:val="24"/>
        </w:rPr>
        <w:t>Masalila</w:t>
      </w:r>
      <w:proofErr w:type="spellEnd"/>
      <w:r w:rsidRPr="00EE1D63">
        <w:rPr>
          <w:rFonts w:asciiTheme="majorBidi" w:hAnsiTheme="majorBidi" w:cstheme="majorBidi"/>
          <w:sz w:val="24"/>
          <w:szCs w:val="24"/>
        </w:rPr>
        <w:t xml:space="preserve">, K. and </w:t>
      </w:r>
      <w:proofErr w:type="spellStart"/>
      <w:r w:rsidRPr="00EE1D63">
        <w:rPr>
          <w:rFonts w:asciiTheme="majorBidi" w:hAnsiTheme="majorBidi" w:cstheme="majorBidi"/>
          <w:sz w:val="24"/>
          <w:szCs w:val="24"/>
        </w:rPr>
        <w:t>Motshidisi</w:t>
      </w:r>
      <w:proofErr w:type="spellEnd"/>
      <w:r w:rsidRPr="00EE1D63">
        <w:rPr>
          <w:rFonts w:asciiTheme="majorBidi" w:hAnsiTheme="majorBidi" w:cstheme="majorBidi"/>
          <w:sz w:val="24"/>
          <w:szCs w:val="24"/>
        </w:rPr>
        <w:t>, O. (2003).</w:t>
      </w:r>
      <w:proofErr w:type="gramEnd"/>
      <w:r w:rsidRPr="00EE1D63">
        <w:rPr>
          <w:rFonts w:asciiTheme="majorBidi" w:hAnsiTheme="majorBidi" w:cstheme="majorBidi"/>
          <w:sz w:val="24"/>
          <w:szCs w:val="24"/>
        </w:rPr>
        <w:t xml:space="preserve"> Botswana’s Exchange Rate Policy. BIS Papers No. 17, </w:t>
      </w:r>
      <w:proofErr w:type="gramStart"/>
      <w:r w:rsidRPr="00EE1D63">
        <w:rPr>
          <w:rFonts w:asciiTheme="majorBidi" w:hAnsiTheme="majorBidi" w:cstheme="majorBidi"/>
          <w:sz w:val="24"/>
          <w:szCs w:val="24"/>
        </w:rPr>
        <w:t>The</w:t>
      </w:r>
      <w:proofErr w:type="gramEnd"/>
      <w:r w:rsidRPr="00EE1D63">
        <w:rPr>
          <w:rFonts w:asciiTheme="majorBidi" w:hAnsiTheme="majorBidi" w:cstheme="majorBidi"/>
          <w:sz w:val="24"/>
          <w:szCs w:val="24"/>
        </w:rPr>
        <w:t xml:space="preserve"> Bank for International Settlements, Basel, Switzerland.</w:t>
      </w:r>
    </w:p>
    <w:p w:rsidR="00EE1D63" w:rsidRPr="00EE1D63" w:rsidRDefault="00EE1D63" w:rsidP="00EE1D63">
      <w:pPr>
        <w:jc w:val="both"/>
        <w:rPr>
          <w:rFonts w:ascii="Times New Roman" w:hAnsi="Times New Roman"/>
          <w:bCs/>
          <w:sz w:val="24"/>
          <w:szCs w:val="24"/>
        </w:rPr>
      </w:pPr>
      <w:r w:rsidRPr="00EE1D63">
        <w:rPr>
          <w:rFonts w:ascii="Times New Roman" w:hAnsi="Times New Roman"/>
          <w:bCs/>
          <w:sz w:val="24"/>
          <w:szCs w:val="24"/>
        </w:rPr>
        <w:lastRenderedPageBreak/>
        <w:t xml:space="preserve">McKinnon, R. (1963). </w:t>
      </w:r>
      <w:proofErr w:type="gramStart"/>
      <w:r w:rsidRPr="00EE1D63">
        <w:rPr>
          <w:rFonts w:ascii="Times New Roman" w:hAnsi="Times New Roman"/>
          <w:bCs/>
          <w:sz w:val="24"/>
          <w:szCs w:val="24"/>
        </w:rPr>
        <w:t>Optimum Currency Areas.</w:t>
      </w:r>
      <w:proofErr w:type="gramEnd"/>
      <w:r w:rsidRPr="00EE1D63">
        <w:rPr>
          <w:rFonts w:ascii="Times New Roman" w:hAnsi="Times New Roman"/>
          <w:bCs/>
          <w:sz w:val="24"/>
          <w:szCs w:val="24"/>
        </w:rPr>
        <w:t xml:space="preserve"> American Economic Review, Vol. 53 (September), pp. 717-24.</w:t>
      </w:r>
    </w:p>
    <w:p w:rsidR="00EE1D63" w:rsidRPr="00EE1D63" w:rsidRDefault="00EE1D63" w:rsidP="00EE1D63">
      <w:pPr>
        <w:jc w:val="both"/>
        <w:rPr>
          <w:rFonts w:ascii="Times New Roman" w:hAnsi="Times New Roman"/>
          <w:bCs/>
          <w:sz w:val="24"/>
          <w:szCs w:val="24"/>
        </w:rPr>
      </w:pPr>
      <w:proofErr w:type="gramStart"/>
      <w:r w:rsidRPr="00EE1D63">
        <w:rPr>
          <w:rFonts w:ascii="Times New Roman" w:hAnsi="Times New Roman"/>
          <w:bCs/>
          <w:sz w:val="24"/>
          <w:szCs w:val="24"/>
        </w:rPr>
        <w:t>Melvin, M. (1985).</w:t>
      </w:r>
      <w:proofErr w:type="gramEnd"/>
      <w:r w:rsidRPr="00EE1D63">
        <w:rPr>
          <w:rFonts w:ascii="Times New Roman" w:hAnsi="Times New Roman"/>
          <w:bCs/>
          <w:sz w:val="24"/>
          <w:szCs w:val="24"/>
        </w:rPr>
        <w:t xml:space="preserve"> </w:t>
      </w:r>
      <w:proofErr w:type="gramStart"/>
      <w:r w:rsidRPr="00EE1D63">
        <w:rPr>
          <w:rFonts w:ascii="Times New Roman" w:hAnsi="Times New Roman"/>
          <w:bCs/>
          <w:sz w:val="24"/>
          <w:szCs w:val="24"/>
        </w:rPr>
        <w:t>The Choice of an Exchange Rate System and Macroeconomic Stability.</w:t>
      </w:r>
      <w:proofErr w:type="gramEnd"/>
      <w:r w:rsidRPr="00EE1D63">
        <w:rPr>
          <w:rFonts w:ascii="Times New Roman" w:hAnsi="Times New Roman"/>
          <w:bCs/>
          <w:sz w:val="24"/>
          <w:szCs w:val="24"/>
        </w:rPr>
        <w:t xml:space="preserve"> </w:t>
      </w:r>
      <w:proofErr w:type="gramStart"/>
      <w:r w:rsidRPr="00EE1D63">
        <w:rPr>
          <w:rFonts w:ascii="Times New Roman" w:hAnsi="Times New Roman"/>
          <w:bCs/>
          <w:sz w:val="24"/>
          <w:szCs w:val="24"/>
        </w:rPr>
        <w:t>Journal of Money, Credit and Banking, Vol. 17 (Part I) November.</w:t>
      </w:r>
      <w:proofErr w:type="gramEnd"/>
    </w:p>
    <w:p w:rsidR="00EE1D63" w:rsidRPr="00EE1D63" w:rsidRDefault="00EE1D63" w:rsidP="00EE1D63">
      <w:pPr>
        <w:jc w:val="both"/>
        <w:rPr>
          <w:rFonts w:asciiTheme="majorBidi" w:hAnsiTheme="majorBidi" w:cstheme="majorBidi"/>
          <w:sz w:val="24"/>
          <w:szCs w:val="24"/>
        </w:rPr>
      </w:pPr>
      <w:proofErr w:type="spellStart"/>
      <w:r w:rsidRPr="00EE1D63">
        <w:rPr>
          <w:rFonts w:asciiTheme="majorBidi" w:hAnsiTheme="majorBidi" w:cstheme="majorBidi"/>
          <w:sz w:val="24"/>
          <w:szCs w:val="24"/>
        </w:rPr>
        <w:t>Montiel</w:t>
      </w:r>
      <w:proofErr w:type="spellEnd"/>
      <w:r w:rsidRPr="00EE1D63">
        <w:rPr>
          <w:rFonts w:asciiTheme="majorBidi" w:hAnsiTheme="majorBidi" w:cstheme="majorBidi"/>
          <w:sz w:val="24"/>
          <w:szCs w:val="24"/>
        </w:rPr>
        <w:t>, P. J. (1997). “Exchange Rate Policies and Macroeconomic Management in ASEAN Countries,” in Macroeconomic Issues Facing ASEAN Countries, ed. by J. Hicklin, Robinson, D., and Singh, A. (Washington: International Monetary Fund).</w:t>
      </w:r>
    </w:p>
    <w:p w:rsidR="00EE1D63" w:rsidRPr="00EE1D63" w:rsidRDefault="00EE1D63" w:rsidP="00EE1D63">
      <w:pPr>
        <w:jc w:val="both"/>
        <w:rPr>
          <w:rFonts w:asciiTheme="majorBidi" w:hAnsiTheme="majorBidi" w:cstheme="majorBidi"/>
          <w:sz w:val="24"/>
          <w:szCs w:val="24"/>
        </w:rPr>
      </w:pPr>
      <w:proofErr w:type="spellStart"/>
      <w:r w:rsidRPr="00EE1D63">
        <w:rPr>
          <w:rFonts w:asciiTheme="majorBidi" w:hAnsiTheme="majorBidi" w:cstheme="majorBidi"/>
          <w:sz w:val="24"/>
          <w:szCs w:val="24"/>
        </w:rPr>
        <w:t>Montiel</w:t>
      </w:r>
      <w:proofErr w:type="spellEnd"/>
      <w:r w:rsidRPr="00EE1D63">
        <w:rPr>
          <w:rFonts w:asciiTheme="majorBidi" w:hAnsiTheme="majorBidi" w:cstheme="majorBidi"/>
          <w:sz w:val="24"/>
          <w:szCs w:val="24"/>
        </w:rPr>
        <w:t xml:space="preserve">, P. J. (1999). “Determinants of the Long-Run Equilibrium Real Exchange Rate: An Analytical Model,” in Exchange Rate Misalignment: Concepts and Measurement for Developing Countries, ed. by L. Hinkle and P. </w:t>
      </w:r>
      <w:proofErr w:type="spellStart"/>
      <w:r w:rsidRPr="00EE1D63">
        <w:rPr>
          <w:rFonts w:asciiTheme="majorBidi" w:hAnsiTheme="majorBidi" w:cstheme="majorBidi"/>
          <w:sz w:val="24"/>
          <w:szCs w:val="24"/>
        </w:rPr>
        <w:t>Montiel</w:t>
      </w:r>
      <w:proofErr w:type="spellEnd"/>
      <w:r w:rsidRPr="00EE1D63">
        <w:rPr>
          <w:rFonts w:asciiTheme="majorBidi" w:hAnsiTheme="majorBidi" w:cstheme="majorBidi"/>
          <w:sz w:val="24"/>
          <w:szCs w:val="24"/>
        </w:rPr>
        <w:t xml:space="preserve"> (New York: Oxford University Press for the World Bank).</w:t>
      </w:r>
    </w:p>
    <w:p w:rsidR="00EE1D63" w:rsidRPr="00EE1D63" w:rsidRDefault="00EE1D63" w:rsidP="00EE1D63">
      <w:pPr>
        <w:jc w:val="both"/>
        <w:rPr>
          <w:rFonts w:ascii="Times New Roman" w:hAnsi="Times New Roman"/>
          <w:bCs/>
          <w:sz w:val="24"/>
          <w:szCs w:val="24"/>
        </w:rPr>
      </w:pPr>
      <w:r w:rsidRPr="00EE1D63">
        <w:rPr>
          <w:rFonts w:ascii="Times New Roman" w:hAnsi="Times New Roman"/>
          <w:bCs/>
          <w:sz w:val="24"/>
          <w:szCs w:val="24"/>
        </w:rPr>
        <w:t xml:space="preserve">Mundell, R. (1961). </w:t>
      </w:r>
      <w:proofErr w:type="gramStart"/>
      <w:r w:rsidRPr="00EE1D63">
        <w:rPr>
          <w:rFonts w:ascii="Times New Roman" w:hAnsi="Times New Roman"/>
          <w:bCs/>
          <w:sz w:val="24"/>
          <w:szCs w:val="24"/>
        </w:rPr>
        <w:t>A Theory of Optimum Currency Areas.</w:t>
      </w:r>
      <w:proofErr w:type="gramEnd"/>
      <w:r w:rsidRPr="00EE1D63">
        <w:rPr>
          <w:rFonts w:ascii="Times New Roman" w:hAnsi="Times New Roman"/>
          <w:bCs/>
          <w:sz w:val="24"/>
          <w:szCs w:val="24"/>
        </w:rPr>
        <w:t xml:space="preserve"> </w:t>
      </w:r>
      <w:proofErr w:type="gramStart"/>
      <w:r w:rsidRPr="00EE1D63">
        <w:rPr>
          <w:rFonts w:ascii="Times New Roman" w:hAnsi="Times New Roman"/>
          <w:bCs/>
          <w:sz w:val="24"/>
          <w:szCs w:val="24"/>
        </w:rPr>
        <w:t>American Economic Review, Vol. 51 (September) pp. 627-65.</w:t>
      </w:r>
      <w:proofErr w:type="gramEnd"/>
    </w:p>
    <w:p w:rsidR="00EE1D63" w:rsidRPr="00EE1D63" w:rsidRDefault="00EE1D63" w:rsidP="00EE1D63">
      <w:pPr>
        <w:jc w:val="both"/>
        <w:rPr>
          <w:rFonts w:asciiTheme="majorBidi" w:hAnsiTheme="majorBidi" w:cstheme="majorBidi"/>
          <w:sz w:val="24"/>
          <w:szCs w:val="24"/>
        </w:rPr>
      </w:pPr>
      <w:proofErr w:type="gramStart"/>
      <w:r w:rsidRPr="00EE1D63">
        <w:rPr>
          <w:rFonts w:asciiTheme="majorBidi" w:hAnsiTheme="majorBidi" w:cstheme="majorBidi"/>
          <w:sz w:val="24"/>
          <w:szCs w:val="24"/>
        </w:rPr>
        <w:t xml:space="preserve">Ng, S. and </w:t>
      </w:r>
      <w:proofErr w:type="spellStart"/>
      <w:r w:rsidRPr="00EE1D63">
        <w:rPr>
          <w:rFonts w:asciiTheme="majorBidi" w:hAnsiTheme="majorBidi" w:cstheme="majorBidi"/>
          <w:sz w:val="24"/>
          <w:szCs w:val="24"/>
        </w:rPr>
        <w:t>Perron</w:t>
      </w:r>
      <w:proofErr w:type="spellEnd"/>
      <w:r w:rsidRPr="00EE1D63">
        <w:rPr>
          <w:rFonts w:asciiTheme="majorBidi" w:hAnsiTheme="majorBidi" w:cstheme="majorBidi"/>
          <w:sz w:val="24"/>
          <w:szCs w:val="24"/>
        </w:rPr>
        <w:t>, P. (2001).</w:t>
      </w:r>
      <w:proofErr w:type="gramEnd"/>
      <w:r w:rsidRPr="00EE1D63">
        <w:rPr>
          <w:rFonts w:asciiTheme="majorBidi" w:hAnsiTheme="majorBidi" w:cstheme="majorBidi"/>
          <w:sz w:val="24"/>
          <w:szCs w:val="24"/>
        </w:rPr>
        <w:t xml:space="preserve"> Lag Length Selection and the Construction of Unit Root Tests with Good Size and Power. </w:t>
      </w:r>
      <w:proofErr w:type="spellStart"/>
      <w:r w:rsidRPr="00EE1D63">
        <w:rPr>
          <w:rFonts w:asciiTheme="majorBidi" w:hAnsiTheme="majorBidi" w:cstheme="majorBidi"/>
          <w:sz w:val="24"/>
          <w:szCs w:val="24"/>
        </w:rPr>
        <w:t>Econometrica</w:t>
      </w:r>
      <w:proofErr w:type="spellEnd"/>
      <w:r w:rsidRPr="00EE1D63">
        <w:rPr>
          <w:rFonts w:asciiTheme="majorBidi" w:hAnsiTheme="majorBidi" w:cstheme="majorBidi"/>
          <w:sz w:val="24"/>
          <w:szCs w:val="24"/>
        </w:rPr>
        <w:t xml:space="preserve"> 69: 1519-1554.</w:t>
      </w:r>
    </w:p>
    <w:p w:rsidR="00EE1D63" w:rsidRPr="00EE1D63" w:rsidRDefault="00EE1D63" w:rsidP="00EE1D63">
      <w:pPr>
        <w:jc w:val="both"/>
        <w:rPr>
          <w:rFonts w:asciiTheme="majorBidi" w:hAnsiTheme="majorBidi" w:cstheme="majorBidi"/>
          <w:sz w:val="24"/>
          <w:szCs w:val="24"/>
        </w:rPr>
      </w:pPr>
      <w:proofErr w:type="gramStart"/>
      <w:r w:rsidRPr="00EE1D63">
        <w:rPr>
          <w:rFonts w:asciiTheme="majorBidi" w:hAnsiTheme="majorBidi" w:cstheme="majorBidi"/>
          <w:sz w:val="24"/>
          <w:szCs w:val="24"/>
        </w:rPr>
        <w:t>Obstfeld, M., and Rogoff, K. (1996).</w:t>
      </w:r>
      <w:proofErr w:type="gramEnd"/>
      <w:r w:rsidRPr="00EE1D63">
        <w:rPr>
          <w:rFonts w:asciiTheme="majorBidi" w:hAnsiTheme="majorBidi" w:cstheme="majorBidi"/>
          <w:sz w:val="24"/>
          <w:szCs w:val="24"/>
        </w:rPr>
        <w:t xml:space="preserve"> </w:t>
      </w:r>
      <w:proofErr w:type="gramStart"/>
      <w:r w:rsidRPr="00EE1D63">
        <w:rPr>
          <w:rFonts w:asciiTheme="majorBidi" w:hAnsiTheme="majorBidi" w:cstheme="majorBidi"/>
          <w:sz w:val="24"/>
          <w:szCs w:val="24"/>
        </w:rPr>
        <w:t>Foundations of International Macroeconomics.</w:t>
      </w:r>
      <w:proofErr w:type="gramEnd"/>
      <w:r w:rsidRPr="00EE1D63">
        <w:rPr>
          <w:rFonts w:asciiTheme="majorBidi" w:hAnsiTheme="majorBidi" w:cstheme="majorBidi"/>
          <w:sz w:val="24"/>
          <w:szCs w:val="24"/>
        </w:rPr>
        <w:t xml:space="preserve"> Cambridge, MA: MIT Press. </w:t>
      </w:r>
      <w:proofErr w:type="gramStart"/>
      <w:r w:rsidRPr="00EE1D63">
        <w:rPr>
          <w:rFonts w:asciiTheme="majorBidi" w:hAnsiTheme="majorBidi" w:cstheme="majorBidi"/>
          <w:sz w:val="24"/>
          <w:szCs w:val="24"/>
        </w:rPr>
        <w:t>Page 199.</w:t>
      </w:r>
      <w:proofErr w:type="gramEnd"/>
    </w:p>
    <w:p w:rsidR="00EE1D63" w:rsidRPr="00EE1D63" w:rsidRDefault="00EE1D63" w:rsidP="00EE1D63">
      <w:pPr>
        <w:jc w:val="both"/>
        <w:rPr>
          <w:rFonts w:ascii="Times New Roman" w:hAnsi="Times New Roman"/>
          <w:bCs/>
          <w:sz w:val="24"/>
          <w:szCs w:val="24"/>
          <w:lang w:val="en-ZA"/>
        </w:rPr>
      </w:pPr>
      <w:proofErr w:type="spellStart"/>
      <w:r w:rsidRPr="00EE1D63">
        <w:rPr>
          <w:rFonts w:ascii="Times New Roman" w:hAnsi="Times New Roman"/>
          <w:bCs/>
          <w:sz w:val="24"/>
          <w:szCs w:val="24"/>
          <w:lang w:val="en-ZA"/>
        </w:rPr>
        <w:t>Papaioannu</w:t>
      </w:r>
      <w:proofErr w:type="spellEnd"/>
      <w:r w:rsidRPr="00EE1D63">
        <w:rPr>
          <w:rFonts w:ascii="Times New Roman" w:hAnsi="Times New Roman"/>
          <w:bCs/>
          <w:sz w:val="24"/>
          <w:szCs w:val="24"/>
          <w:lang w:val="en-ZA"/>
        </w:rPr>
        <w:t xml:space="preserve">, M. G. (2003). Determinants of the Choice of Exchange Rate Regimes in Six Central American Countries: An Empirical Analysis. </w:t>
      </w:r>
      <w:proofErr w:type="gramStart"/>
      <w:r w:rsidRPr="00EE1D63">
        <w:rPr>
          <w:rFonts w:ascii="Times New Roman" w:hAnsi="Times New Roman"/>
          <w:bCs/>
          <w:sz w:val="24"/>
          <w:szCs w:val="24"/>
          <w:lang w:val="en-ZA"/>
        </w:rPr>
        <w:t>IMF Working Paper, WP/03/59.</w:t>
      </w:r>
      <w:proofErr w:type="gramEnd"/>
    </w:p>
    <w:p w:rsidR="00EE1D63" w:rsidRPr="00EE1D63" w:rsidRDefault="00EE1D63" w:rsidP="00EE1D63">
      <w:pPr>
        <w:jc w:val="both"/>
        <w:rPr>
          <w:rFonts w:asciiTheme="majorBidi" w:hAnsiTheme="majorBidi" w:cstheme="majorBidi"/>
          <w:sz w:val="24"/>
          <w:szCs w:val="24"/>
        </w:rPr>
      </w:pPr>
      <w:proofErr w:type="spellStart"/>
      <w:proofErr w:type="gramStart"/>
      <w:r w:rsidRPr="00EE1D63">
        <w:rPr>
          <w:rFonts w:asciiTheme="majorBidi" w:hAnsiTheme="majorBidi" w:cstheme="majorBidi"/>
          <w:sz w:val="24"/>
          <w:szCs w:val="24"/>
        </w:rPr>
        <w:t>Pesaran</w:t>
      </w:r>
      <w:proofErr w:type="spellEnd"/>
      <w:r w:rsidRPr="00EE1D63">
        <w:rPr>
          <w:rFonts w:asciiTheme="majorBidi" w:hAnsiTheme="majorBidi" w:cstheme="majorBidi"/>
          <w:sz w:val="24"/>
          <w:szCs w:val="24"/>
        </w:rPr>
        <w:t>, M. H., Shin, Y., and Smith, R. J. (1996).</w:t>
      </w:r>
      <w:proofErr w:type="gramEnd"/>
      <w:r w:rsidRPr="00EE1D63">
        <w:rPr>
          <w:rFonts w:asciiTheme="majorBidi" w:hAnsiTheme="majorBidi" w:cstheme="majorBidi"/>
          <w:sz w:val="24"/>
          <w:szCs w:val="24"/>
        </w:rPr>
        <w:t xml:space="preserve"> </w:t>
      </w:r>
      <w:proofErr w:type="gramStart"/>
      <w:r w:rsidRPr="00EE1D63">
        <w:rPr>
          <w:rFonts w:asciiTheme="majorBidi" w:hAnsiTheme="majorBidi" w:cstheme="majorBidi"/>
          <w:sz w:val="24"/>
          <w:szCs w:val="24"/>
        </w:rPr>
        <w:t>Testing for the Existence of a Long-run Relationship.</w:t>
      </w:r>
      <w:proofErr w:type="gramEnd"/>
      <w:r w:rsidRPr="00EE1D63">
        <w:rPr>
          <w:rFonts w:asciiTheme="majorBidi" w:hAnsiTheme="majorBidi" w:cstheme="majorBidi"/>
          <w:sz w:val="24"/>
          <w:szCs w:val="24"/>
        </w:rPr>
        <w:t xml:space="preserve"> </w:t>
      </w:r>
      <w:proofErr w:type="gramStart"/>
      <w:r w:rsidRPr="00EE1D63">
        <w:rPr>
          <w:rFonts w:asciiTheme="majorBidi" w:hAnsiTheme="majorBidi" w:cstheme="majorBidi"/>
          <w:sz w:val="24"/>
          <w:szCs w:val="24"/>
        </w:rPr>
        <w:t>Department of Applied Economics, Working Paper No. 9622, University of Cambridge.</w:t>
      </w:r>
      <w:proofErr w:type="gramEnd"/>
    </w:p>
    <w:p w:rsidR="00EE1D63" w:rsidRPr="00EE1D63" w:rsidRDefault="00EE1D63" w:rsidP="00EE1D63">
      <w:pPr>
        <w:jc w:val="both"/>
        <w:rPr>
          <w:rFonts w:asciiTheme="majorBidi" w:hAnsiTheme="majorBidi" w:cstheme="majorBidi"/>
          <w:sz w:val="24"/>
          <w:szCs w:val="24"/>
        </w:rPr>
      </w:pPr>
      <w:proofErr w:type="spellStart"/>
      <w:proofErr w:type="gramStart"/>
      <w:r w:rsidRPr="00EE1D63">
        <w:rPr>
          <w:rFonts w:asciiTheme="majorBidi" w:hAnsiTheme="majorBidi" w:cstheme="majorBidi"/>
          <w:sz w:val="24"/>
          <w:szCs w:val="24"/>
        </w:rPr>
        <w:t>Pesaran</w:t>
      </w:r>
      <w:proofErr w:type="spellEnd"/>
      <w:r w:rsidRPr="00EE1D63">
        <w:rPr>
          <w:rFonts w:asciiTheme="majorBidi" w:hAnsiTheme="majorBidi" w:cstheme="majorBidi"/>
          <w:sz w:val="24"/>
          <w:szCs w:val="24"/>
        </w:rPr>
        <w:t>, M. H., and Shin, Y. (1999).</w:t>
      </w:r>
      <w:proofErr w:type="gramEnd"/>
      <w:r w:rsidRPr="00EE1D63">
        <w:rPr>
          <w:rFonts w:asciiTheme="majorBidi" w:hAnsiTheme="majorBidi" w:cstheme="majorBidi"/>
          <w:sz w:val="24"/>
          <w:szCs w:val="24"/>
        </w:rPr>
        <w:t xml:space="preserve"> An Autoregressive Distributed Lag Modelling Approach to Cointegration Analysis. Chapter 11 in S. Strom (ed.), Econometrics and Economic Theory in the 20th Century: The Ragnar Frisch Centennial Symposium. Cambridge University Press, Cambridge.</w:t>
      </w:r>
    </w:p>
    <w:p w:rsidR="00EE1D63" w:rsidRPr="00EE1D63" w:rsidRDefault="00EE1D63" w:rsidP="00EE1D63">
      <w:pPr>
        <w:jc w:val="both"/>
        <w:rPr>
          <w:rFonts w:asciiTheme="majorBidi" w:hAnsiTheme="majorBidi" w:cstheme="majorBidi"/>
          <w:sz w:val="24"/>
          <w:szCs w:val="24"/>
        </w:rPr>
      </w:pPr>
      <w:proofErr w:type="spellStart"/>
      <w:proofErr w:type="gramStart"/>
      <w:r w:rsidRPr="00EE1D63">
        <w:rPr>
          <w:rFonts w:asciiTheme="majorBidi" w:hAnsiTheme="majorBidi" w:cstheme="majorBidi"/>
          <w:sz w:val="24"/>
          <w:szCs w:val="24"/>
        </w:rPr>
        <w:t>Pesaran</w:t>
      </w:r>
      <w:proofErr w:type="spellEnd"/>
      <w:r w:rsidRPr="00EE1D63">
        <w:rPr>
          <w:rFonts w:asciiTheme="majorBidi" w:hAnsiTheme="majorBidi" w:cstheme="majorBidi"/>
          <w:sz w:val="24"/>
          <w:szCs w:val="24"/>
        </w:rPr>
        <w:t>, M. H., Shin, Y., and Smith R. (2001).</w:t>
      </w:r>
      <w:proofErr w:type="gramEnd"/>
      <w:r w:rsidRPr="00EE1D63">
        <w:rPr>
          <w:rFonts w:asciiTheme="majorBidi" w:hAnsiTheme="majorBidi" w:cstheme="majorBidi"/>
          <w:sz w:val="24"/>
          <w:szCs w:val="24"/>
        </w:rPr>
        <w:t xml:space="preserve"> </w:t>
      </w:r>
      <w:proofErr w:type="gramStart"/>
      <w:r w:rsidRPr="00EE1D63">
        <w:rPr>
          <w:rFonts w:asciiTheme="majorBidi" w:hAnsiTheme="majorBidi" w:cstheme="majorBidi"/>
          <w:sz w:val="24"/>
          <w:szCs w:val="24"/>
        </w:rPr>
        <w:t>Bounds Testing Approaches to the Analysis of Level Relationships.</w:t>
      </w:r>
      <w:proofErr w:type="gramEnd"/>
      <w:r w:rsidRPr="00EE1D63">
        <w:rPr>
          <w:rFonts w:asciiTheme="majorBidi" w:hAnsiTheme="majorBidi" w:cstheme="majorBidi"/>
          <w:sz w:val="24"/>
          <w:szCs w:val="24"/>
        </w:rPr>
        <w:t xml:space="preserve"> Journal of Applied Econometrics 16: 289-326.</w:t>
      </w:r>
    </w:p>
    <w:p w:rsidR="00EE1D63" w:rsidRPr="00EE1D63" w:rsidRDefault="00EE1D63" w:rsidP="00EE1D63">
      <w:pPr>
        <w:jc w:val="both"/>
        <w:rPr>
          <w:rFonts w:asciiTheme="majorBidi" w:hAnsiTheme="majorBidi" w:cstheme="majorBidi"/>
          <w:sz w:val="24"/>
          <w:szCs w:val="24"/>
        </w:rPr>
      </w:pPr>
      <w:proofErr w:type="spellStart"/>
      <w:proofErr w:type="gramStart"/>
      <w:r w:rsidRPr="00EE1D63">
        <w:rPr>
          <w:rFonts w:asciiTheme="majorBidi" w:hAnsiTheme="majorBidi" w:cstheme="majorBidi"/>
          <w:sz w:val="24"/>
          <w:szCs w:val="24"/>
        </w:rPr>
        <w:t>Ravn</w:t>
      </w:r>
      <w:proofErr w:type="spellEnd"/>
      <w:r w:rsidRPr="00EE1D63">
        <w:rPr>
          <w:rFonts w:asciiTheme="majorBidi" w:hAnsiTheme="majorBidi" w:cstheme="majorBidi"/>
          <w:sz w:val="24"/>
          <w:szCs w:val="24"/>
        </w:rPr>
        <w:t xml:space="preserve">, M., and </w:t>
      </w:r>
      <w:proofErr w:type="spellStart"/>
      <w:r w:rsidRPr="00EE1D63">
        <w:rPr>
          <w:rFonts w:asciiTheme="majorBidi" w:hAnsiTheme="majorBidi" w:cstheme="majorBidi"/>
          <w:sz w:val="24"/>
          <w:szCs w:val="24"/>
        </w:rPr>
        <w:t>Uhlig</w:t>
      </w:r>
      <w:proofErr w:type="spellEnd"/>
      <w:r w:rsidRPr="00EE1D63">
        <w:rPr>
          <w:rFonts w:asciiTheme="majorBidi" w:hAnsiTheme="majorBidi" w:cstheme="majorBidi"/>
          <w:sz w:val="24"/>
          <w:szCs w:val="24"/>
        </w:rPr>
        <w:t>, H. (2002).</w:t>
      </w:r>
      <w:proofErr w:type="gramEnd"/>
      <w:r w:rsidRPr="00EE1D63">
        <w:rPr>
          <w:rFonts w:asciiTheme="majorBidi" w:hAnsiTheme="majorBidi" w:cstheme="majorBidi"/>
          <w:sz w:val="24"/>
          <w:szCs w:val="24"/>
        </w:rPr>
        <w:t xml:space="preserve"> On Adjusting the </w:t>
      </w:r>
      <w:proofErr w:type="spellStart"/>
      <w:r w:rsidRPr="00EE1D63">
        <w:rPr>
          <w:rFonts w:asciiTheme="majorBidi" w:hAnsiTheme="majorBidi" w:cstheme="majorBidi"/>
          <w:sz w:val="24"/>
          <w:szCs w:val="24"/>
        </w:rPr>
        <w:t>Hodrick</w:t>
      </w:r>
      <w:proofErr w:type="spellEnd"/>
      <w:r w:rsidRPr="00EE1D63">
        <w:rPr>
          <w:rFonts w:asciiTheme="majorBidi" w:hAnsiTheme="majorBidi" w:cstheme="majorBidi"/>
          <w:sz w:val="24"/>
          <w:szCs w:val="24"/>
        </w:rPr>
        <w:t>-Prescott filter for the Frequency of Observations. The Review of Economics and Statistics, Vol. 84 (2): 371-375.</w:t>
      </w:r>
    </w:p>
    <w:p w:rsidR="00EE1D63" w:rsidRPr="00EE1D63" w:rsidRDefault="00EE1D63" w:rsidP="00EE1D63">
      <w:pPr>
        <w:jc w:val="both"/>
        <w:rPr>
          <w:rFonts w:asciiTheme="majorBidi" w:hAnsiTheme="majorBidi" w:cstheme="majorBidi"/>
          <w:sz w:val="24"/>
          <w:szCs w:val="24"/>
        </w:rPr>
      </w:pPr>
      <w:r w:rsidRPr="00EE1D63">
        <w:rPr>
          <w:rFonts w:asciiTheme="majorBidi" w:hAnsiTheme="majorBidi" w:cstheme="majorBidi"/>
          <w:sz w:val="24"/>
          <w:szCs w:val="24"/>
        </w:rPr>
        <w:lastRenderedPageBreak/>
        <w:t>Rodrik, D. (2008). The Real Exchange Rate and Economic Growth, Working Paper, John F. Kennedy School of Government, Harvard University, Cambridge, MA 02138, Revised, September 2008.</w:t>
      </w:r>
    </w:p>
    <w:p w:rsidR="00EE1D63" w:rsidRPr="00EE1D63" w:rsidRDefault="00EE1D63" w:rsidP="00EE1D63">
      <w:pPr>
        <w:jc w:val="both"/>
        <w:rPr>
          <w:rFonts w:asciiTheme="majorBidi" w:hAnsiTheme="majorBidi" w:cstheme="majorBidi"/>
          <w:sz w:val="24"/>
          <w:szCs w:val="24"/>
        </w:rPr>
      </w:pPr>
      <w:r w:rsidRPr="00EE1D63">
        <w:rPr>
          <w:rFonts w:asciiTheme="majorBidi" w:hAnsiTheme="majorBidi" w:cstheme="majorBidi"/>
          <w:sz w:val="24"/>
          <w:szCs w:val="24"/>
        </w:rPr>
        <w:t xml:space="preserve">Rogoff, K. (1996). </w:t>
      </w:r>
      <w:proofErr w:type="gramStart"/>
      <w:r w:rsidRPr="00EE1D63">
        <w:rPr>
          <w:rFonts w:asciiTheme="majorBidi" w:hAnsiTheme="majorBidi" w:cstheme="majorBidi"/>
          <w:sz w:val="24"/>
          <w:szCs w:val="24"/>
        </w:rPr>
        <w:t>The Purchasing Power Parity Puzzle.</w:t>
      </w:r>
      <w:proofErr w:type="gramEnd"/>
      <w:r w:rsidRPr="00EE1D63">
        <w:rPr>
          <w:rFonts w:asciiTheme="majorBidi" w:hAnsiTheme="majorBidi" w:cstheme="majorBidi"/>
          <w:sz w:val="24"/>
          <w:szCs w:val="24"/>
        </w:rPr>
        <w:t xml:space="preserve"> Journal of Economic Literature, Vol. 34 (June), pp. 647–68.</w:t>
      </w:r>
    </w:p>
    <w:p w:rsidR="00EE1D63" w:rsidRPr="00EE1D63" w:rsidRDefault="00EE1D63" w:rsidP="00EE1D63">
      <w:pPr>
        <w:jc w:val="both"/>
        <w:rPr>
          <w:rFonts w:asciiTheme="majorBidi" w:hAnsiTheme="majorBidi" w:cstheme="majorBidi"/>
          <w:sz w:val="24"/>
          <w:szCs w:val="24"/>
        </w:rPr>
      </w:pPr>
      <w:r w:rsidRPr="00EE1D63">
        <w:rPr>
          <w:rFonts w:asciiTheme="majorBidi" w:hAnsiTheme="majorBidi" w:cstheme="majorBidi"/>
          <w:sz w:val="24"/>
          <w:szCs w:val="24"/>
        </w:rPr>
        <w:t xml:space="preserve">Samuelson, P. A. (1964). </w:t>
      </w:r>
      <w:proofErr w:type="gramStart"/>
      <w:r w:rsidRPr="00EE1D63">
        <w:rPr>
          <w:rFonts w:asciiTheme="majorBidi" w:hAnsiTheme="majorBidi" w:cstheme="majorBidi"/>
          <w:sz w:val="24"/>
          <w:szCs w:val="24"/>
        </w:rPr>
        <w:t>Theoretical Notes on Trade Problems.</w:t>
      </w:r>
      <w:proofErr w:type="gramEnd"/>
      <w:r w:rsidRPr="00EE1D63">
        <w:rPr>
          <w:rFonts w:asciiTheme="majorBidi" w:hAnsiTheme="majorBidi" w:cstheme="majorBidi"/>
          <w:sz w:val="24"/>
          <w:szCs w:val="24"/>
        </w:rPr>
        <w:t xml:space="preserve"> Review of Economics and Statistics 46: 145–54.</w:t>
      </w:r>
    </w:p>
    <w:p w:rsidR="00EE1D63" w:rsidRPr="00EE1D63" w:rsidRDefault="00EE1D63" w:rsidP="00EE1D63">
      <w:pPr>
        <w:jc w:val="both"/>
        <w:rPr>
          <w:rFonts w:asciiTheme="majorBidi" w:hAnsiTheme="majorBidi" w:cstheme="majorBidi"/>
          <w:sz w:val="24"/>
          <w:szCs w:val="24"/>
        </w:rPr>
      </w:pPr>
      <w:proofErr w:type="spellStart"/>
      <w:proofErr w:type="gramStart"/>
      <w:r w:rsidRPr="00EE1D63">
        <w:rPr>
          <w:rFonts w:asciiTheme="majorBidi" w:hAnsiTheme="majorBidi" w:cstheme="majorBidi"/>
          <w:sz w:val="24"/>
          <w:szCs w:val="24"/>
        </w:rPr>
        <w:t>Schwert</w:t>
      </w:r>
      <w:proofErr w:type="spellEnd"/>
      <w:r w:rsidRPr="00EE1D63">
        <w:rPr>
          <w:rFonts w:asciiTheme="majorBidi" w:hAnsiTheme="majorBidi" w:cstheme="majorBidi"/>
          <w:sz w:val="24"/>
          <w:szCs w:val="24"/>
        </w:rPr>
        <w:t>, W. (1986).</w:t>
      </w:r>
      <w:proofErr w:type="gramEnd"/>
      <w:r w:rsidRPr="00EE1D63">
        <w:rPr>
          <w:rFonts w:asciiTheme="majorBidi" w:hAnsiTheme="majorBidi" w:cstheme="majorBidi"/>
          <w:sz w:val="24"/>
          <w:szCs w:val="24"/>
        </w:rPr>
        <w:t xml:space="preserve"> Test for Unit Roots: A Monte Carlo Investigation. Journal of Business and Economic Statistics 7: 147-159.</w:t>
      </w:r>
    </w:p>
    <w:p w:rsidR="00EE1D63" w:rsidRPr="00EE1D63" w:rsidRDefault="00EE1D63" w:rsidP="00EE1D63">
      <w:pPr>
        <w:jc w:val="both"/>
        <w:rPr>
          <w:rFonts w:asciiTheme="majorBidi" w:hAnsiTheme="majorBidi" w:cstheme="majorBidi"/>
          <w:sz w:val="24"/>
          <w:szCs w:val="24"/>
        </w:rPr>
      </w:pPr>
      <w:proofErr w:type="gramStart"/>
      <w:r w:rsidRPr="00EE1D63">
        <w:rPr>
          <w:rFonts w:asciiTheme="majorBidi" w:hAnsiTheme="majorBidi" w:cstheme="majorBidi"/>
          <w:sz w:val="24"/>
          <w:szCs w:val="24"/>
        </w:rPr>
        <w:t>Stein, J. L., P. R. Allen, and Associates (1995).</w:t>
      </w:r>
      <w:proofErr w:type="gramEnd"/>
      <w:r w:rsidRPr="00EE1D63">
        <w:rPr>
          <w:rFonts w:asciiTheme="majorBidi" w:hAnsiTheme="majorBidi" w:cstheme="majorBidi"/>
          <w:sz w:val="24"/>
          <w:szCs w:val="24"/>
        </w:rPr>
        <w:t xml:space="preserve"> </w:t>
      </w:r>
      <w:proofErr w:type="gramStart"/>
      <w:r w:rsidRPr="00EE1D63">
        <w:rPr>
          <w:rFonts w:asciiTheme="majorBidi" w:hAnsiTheme="majorBidi" w:cstheme="majorBidi"/>
          <w:sz w:val="24"/>
          <w:szCs w:val="24"/>
        </w:rPr>
        <w:t>Fundamental Determinants of Exchange Rates.</w:t>
      </w:r>
      <w:proofErr w:type="gramEnd"/>
      <w:r w:rsidRPr="00EE1D63">
        <w:rPr>
          <w:rFonts w:asciiTheme="majorBidi" w:hAnsiTheme="majorBidi" w:cstheme="majorBidi"/>
          <w:sz w:val="24"/>
          <w:szCs w:val="24"/>
        </w:rPr>
        <w:t xml:space="preserve"> (Oxford, England: Oxford University Press, Clarendon).</w:t>
      </w:r>
    </w:p>
    <w:p w:rsidR="00EE1D63" w:rsidRPr="00EE1D63" w:rsidRDefault="00EE1D63" w:rsidP="00EE1D63">
      <w:pPr>
        <w:jc w:val="both"/>
        <w:rPr>
          <w:rFonts w:ascii="Times New Roman" w:hAnsi="Times New Roman"/>
          <w:bCs/>
          <w:sz w:val="24"/>
          <w:szCs w:val="24"/>
        </w:rPr>
      </w:pPr>
      <w:proofErr w:type="spellStart"/>
      <w:proofErr w:type="gramStart"/>
      <w:r w:rsidRPr="00EE1D63">
        <w:rPr>
          <w:rFonts w:ascii="Times New Roman" w:hAnsi="Times New Roman"/>
          <w:bCs/>
          <w:sz w:val="24"/>
          <w:szCs w:val="24"/>
        </w:rPr>
        <w:t>Tornell</w:t>
      </w:r>
      <w:proofErr w:type="spellEnd"/>
      <w:r w:rsidRPr="00EE1D63">
        <w:rPr>
          <w:rFonts w:ascii="Times New Roman" w:hAnsi="Times New Roman"/>
          <w:bCs/>
          <w:sz w:val="24"/>
          <w:szCs w:val="24"/>
        </w:rPr>
        <w:t>, A. and Velasco, A. (1995).</w:t>
      </w:r>
      <w:proofErr w:type="gramEnd"/>
      <w:r w:rsidRPr="00EE1D63">
        <w:rPr>
          <w:rFonts w:ascii="Times New Roman" w:hAnsi="Times New Roman"/>
          <w:bCs/>
          <w:sz w:val="24"/>
          <w:szCs w:val="24"/>
        </w:rPr>
        <w:t xml:space="preserve"> Fixed versus Flexible Exchange Rates: Which provides More Fiscal Discipline? NBER Working Paper No. 5108, (Cambridge, Massachusetts: National Bureau of Economic Research).</w:t>
      </w:r>
    </w:p>
    <w:p w:rsidR="00EE1D63" w:rsidRPr="00EE1D63" w:rsidRDefault="00EE1D63" w:rsidP="00EE1D63">
      <w:pPr>
        <w:jc w:val="both"/>
        <w:rPr>
          <w:rFonts w:asciiTheme="majorBidi" w:hAnsiTheme="majorBidi" w:cstheme="majorBidi"/>
          <w:sz w:val="24"/>
          <w:szCs w:val="24"/>
        </w:rPr>
      </w:pPr>
      <w:r w:rsidRPr="00EE1D63">
        <w:rPr>
          <w:rFonts w:asciiTheme="majorBidi" w:hAnsiTheme="majorBidi" w:cstheme="majorBidi"/>
          <w:sz w:val="24"/>
          <w:szCs w:val="24"/>
        </w:rPr>
        <w:t xml:space="preserve">Whittaker, E. T. (1923). </w:t>
      </w:r>
      <w:proofErr w:type="gramStart"/>
      <w:r w:rsidRPr="00EE1D63">
        <w:rPr>
          <w:rFonts w:asciiTheme="majorBidi" w:hAnsiTheme="majorBidi" w:cstheme="majorBidi"/>
          <w:sz w:val="24"/>
          <w:szCs w:val="24"/>
        </w:rPr>
        <w:t>On a New Method of Graduation.</w:t>
      </w:r>
      <w:proofErr w:type="gramEnd"/>
      <w:r w:rsidRPr="00EE1D63">
        <w:rPr>
          <w:rFonts w:asciiTheme="majorBidi" w:hAnsiTheme="majorBidi" w:cstheme="majorBidi"/>
          <w:sz w:val="24"/>
          <w:szCs w:val="24"/>
        </w:rPr>
        <w:t xml:space="preserve"> Proceedings of the Edinburgh Mathematical Association, Vol. 41: 63-75.</w:t>
      </w:r>
    </w:p>
    <w:p w:rsidR="00EE1D63" w:rsidRPr="00EE1D63" w:rsidRDefault="00EE1D63" w:rsidP="00EE1D63">
      <w:pPr>
        <w:jc w:val="both"/>
        <w:rPr>
          <w:rFonts w:asciiTheme="majorBidi" w:hAnsiTheme="majorBidi" w:cstheme="majorBidi"/>
          <w:sz w:val="24"/>
          <w:szCs w:val="24"/>
        </w:rPr>
      </w:pPr>
      <w:r w:rsidRPr="00EE1D63">
        <w:rPr>
          <w:rFonts w:asciiTheme="majorBidi" w:hAnsiTheme="majorBidi" w:cstheme="majorBidi"/>
          <w:sz w:val="24"/>
          <w:szCs w:val="24"/>
        </w:rPr>
        <w:t>Williamson, J. (1994). Estimating Equilibrium Exchange Rates (Washington: Institute for International Economics).</w:t>
      </w:r>
    </w:p>
    <w:p w:rsidR="00EE1D63" w:rsidRPr="00EE1D63" w:rsidRDefault="00EE1D63" w:rsidP="00EE1D63">
      <w:pPr>
        <w:spacing w:after="0"/>
        <w:jc w:val="both"/>
        <w:rPr>
          <w:rFonts w:ascii="Times New Roman" w:hAnsi="Times New Roman"/>
          <w:sz w:val="24"/>
          <w:szCs w:val="24"/>
        </w:rPr>
      </w:pPr>
      <w:proofErr w:type="gramStart"/>
      <w:r w:rsidRPr="00EE1D63">
        <w:rPr>
          <w:rFonts w:ascii="Times New Roman" w:hAnsi="Times New Roman"/>
          <w:sz w:val="24"/>
          <w:szCs w:val="24"/>
        </w:rPr>
        <w:t>World Bank (2014).</w:t>
      </w:r>
      <w:proofErr w:type="gramEnd"/>
      <w:r w:rsidRPr="00EE1D63">
        <w:rPr>
          <w:rFonts w:ascii="Times New Roman" w:hAnsi="Times New Roman"/>
          <w:sz w:val="24"/>
          <w:szCs w:val="24"/>
        </w:rPr>
        <w:t xml:space="preserve"> </w:t>
      </w:r>
      <w:proofErr w:type="gramStart"/>
      <w:r w:rsidRPr="00EE1D63">
        <w:rPr>
          <w:rFonts w:ascii="Times New Roman" w:hAnsi="Times New Roman"/>
          <w:sz w:val="24"/>
          <w:szCs w:val="24"/>
        </w:rPr>
        <w:t>World Development Indicators.</w:t>
      </w:r>
      <w:proofErr w:type="gramEnd"/>
      <w:r w:rsidRPr="00EE1D63">
        <w:rPr>
          <w:rFonts w:ascii="Times New Roman" w:hAnsi="Times New Roman"/>
          <w:sz w:val="24"/>
          <w:szCs w:val="24"/>
        </w:rPr>
        <w:t xml:space="preserve"> http://data.worldbank.org/products/wdi</w:t>
      </w:r>
    </w:p>
    <w:p w:rsidR="00EE1D63" w:rsidRPr="00EE1D63" w:rsidRDefault="00EE1D63" w:rsidP="00EE1D63">
      <w:pPr>
        <w:jc w:val="center"/>
        <w:rPr>
          <w:rFonts w:asciiTheme="majorBidi" w:hAnsiTheme="majorBidi" w:cstheme="majorBidi"/>
          <w:b/>
          <w:sz w:val="24"/>
          <w:szCs w:val="24"/>
        </w:rPr>
      </w:pPr>
    </w:p>
    <w:p w:rsidR="00EE1D63" w:rsidRPr="00EE1D63" w:rsidRDefault="00EE1D63" w:rsidP="00EE1D63">
      <w:pPr>
        <w:jc w:val="center"/>
        <w:rPr>
          <w:rFonts w:asciiTheme="majorBidi" w:hAnsiTheme="majorBidi" w:cstheme="majorBidi"/>
          <w:b/>
          <w:sz w:val="24"/>
          <w:szCs w:val="24"/>
        </w:rPr>
      </w:pPr>
    </w:p>
    <w:p w:rsidR="00EE1D63" w:rsidRPr="00EE1D63" w:rsidRDefault="00EE1D63" w:rsidP="00EE1D63">
      <w:pPr>
        <w:jc w:val="center"/>
        <w:rPr>
          <w:rFonts w:asciiTheme="majorBidi" w:hAnsiTheme="majorBidi" w:cstheme="majorBidi"/>
          <w:b/>
          <w:sz w:val="24"/>
          <w:szCs w:val="24"/>
        </w:rPr>
      </w:pPr>
    </w:p>
    <w:p w:rsidR="00EE1D63" w:rsidRPr="00EE1D63" w:rsidRDefault="00EE1D63" w:rsidP="00EE1D63">
      <w:pPr>
        <w:jc w:val="center"/>
        <w:rPr>
          <w:rFonts w:asciiTheme="majorBidi" w:hAnsiTheme="majorBidi" w:cstheme="majorBidi"/>
          <w:b/>
          <w:sz w:val="24"/>
          <w:szCs w:val="24"/>
        </w:rPr>
      </w:pPr>
    </w:p>
    <w:p w:rsidR="00EE1D63" w:rsidRPr="00EE1D63" w:rsidRDefault="00EE1D63" w:rsidP="00EE1D63">
      <w:pPr>
        <w:jc w:val="center"/>
        <w:rPr>
          <w:rFonts w:asciiTheme="majorBidi" w:hAnsiTheme="majorBidi" w:cstheme="majorBidi"/>
          <w:b/>
          <w:sz w:val="24"/>
          <w:szCs w:val="24"/>
        </w:rPr>
      </w:pPr>
    </w:p>
    <w:p w:rsidR="00EE1D63" w:rsidRPr="00EE1D63" w:rsidRDefault="00EE1D63" w:rsidP="00EE1D63">
      <w:pPr>
        <w:jc w:val="center"/>
        <w:rPr>
          <w:rFonts w:asciiTheme="majorBidi" w:hAnsiTheme="majorBidi" w:cstheme="majorBidi"/>
          <w:b/>
          <w:sz w:val="24"/>
          <w:szCs w:val="24"/>
        </w:rPr>
      </w:pPr>
    </w:p>
    <w:p w:rsidR="00EE1D63" w:rsidRPr="00EE1D63" w:rsidRDefault="00EE1D63" w:rsidP="00EE1D63">
      <w:pPr>
        <w:jc w:val="center"/>
        <w:rPr>
          <w:rFonts w:asciiTheme="majorBidi" w:hAnsiTheme="majorBidi" w:cstheme="majorBidi"/>
          <w:b/>
          <w:sz w:val="24"/>
          <w:szCs w:val="24"/>
        </w:rPr>
      </w:pPr>
    </w:p>
    <w:p w:rsidR="00EE1D63" w:rsidRDefault="00EE1D63" w:rsidP="00385C1D">
      <w:pPr>
        <w:rPr>
          <w:rFonts w:asciiTheme="majorBidi" w:hAnsiTheme="majorBidi" w:cstheme="majorBidi"/>
          <w:b/>
          <w:sz w:val="24"/>
          <w:szCs w:val="24"/>
        </w:rPr>
      </w:pPr>
    </w:p>
    <w:p w:rsidR="00385C1D" w:rsidRPr="00EE1D63" w:rsidRDefault="00385C1D" w:rsidP="00385C1D">
      <w:pPr>
        <w:rPr>
          <w:rFonts w:asciiTheme="majorBidi" w:hAnsiTheme="majorBidi" w:cstheme="majorBidi"/>
          <w:b/>
          <w:sz w:val="24"/>
          <w:szCs w:val="24"/>
        </w:rPr>
      </w:pPr>
    </w:p>
    <w:p w:rsidR="00EE1D63" w:rsidRPr="00EE1D63" w:rsidRDefault="00EE1D63" w:rsidP="00EE1D63">
      <w:pPr>
        <w:jc w:val="center"/>
        <w:rPr>
          <w:rFonts w:asciiTheme="majorBidi" w:hAnsiTheme="majorBidi" w:cstheme="majorBidi"/>
          <w:b/>
          <w:sz w:val="24"/>
          <w:szCs w:val="24"/>
        </w:rPr>
      </w:pPr>
    </w:p>
    <w:p w:rsidR="00EE1D63" w:rsidRPr="00EE1D63" w:rsidRDefault="00EE1D63" w:rsidP="00EE1D63">
      <w:pPr>
        <w:jc w:val="center"/>
        <w:rPr>
          <w:rFonts w:asciiTheme="majorBidi" w:hAnsiTheme="majorBidi" w:cstheme="majorBidi"/>
          <w:b/>
          <w:sz w:val="24"/>
          <w:szCs w:val="24"/>
        </w:rPr>
      </w:pPr>
      <w:r w:rsidRPr="00EE1D63">
        <w:rPr>
          <w:rFonts w:asciiTheme="majorBidi" w:hAnsiTheme="majorBidi" w:cstheme="majorBidi"/>
          <w:b/>
          <w:sz w:val="24"/>
          <w:szCs w:val="24"/>
        </w:rPr>
        <w:lastRenderedPageBreak/>
        <w:t>APPENDIX A</w:t>
      </w:r>
    </w:p>
    <w:p w:rsidR="00EE1D63" w:rsidRPr="00EE1D63" w:rsidRDefault="00EE1D63" w:rsidP="00EE1D63">
      <w:pPr>
        <w:jc w:val="center"/>
        <w:rPr>
          <w:rFonts w:asciiTheme="majorBidi" w:hAnsiTheme="majorBidi" w:cstheme="majorBidi"/>
          <w:sz w:val="24"/>
          <w:szCs w:val="24"/>
        </w:rPr>
      </w:pPr>
    </w:p>
    <w:p w:rsidR="00EE1D63" w:rsidRPr="00EE1D63" w:rsidRDefault="00EE1D63" w:rsidP="00EE1D63">
      <w:pPr>
        <w:autoSpaceDE w:val="0"/>
        <w:autoSpaceDN w:val="0"/>
        <w:adjustRightInd w:val="0"/>
        <w:spacing w:after="0" w:line="240" w:lineRule="auto"/>
        <w:jc w:val="both"/>
        <w:rPr>
          <w:rFonts w:asciiTheme="majorBidi" w:hAnsiTheme="majorBidi" w:cstheme="majorBidi"/>
          <w:b/>
          <w:bCs/>
          <w:sz w:val="24"/>
          <w:szCs w:val="24"/>
        </w:rPr>
      </w:pPr>
      <w:r w:rsidRPr="00EE1D63">
        <w:rPr>
          <w:rFonts w:asciiTheme="majorBidi" w:hAnsiTheme="majorBidi" w:cstheme="majorBidi"/>
          <w:b/>
          <w:bCs/>
          <w:sz w:val="24"/>
          <w:szCs w:val="24"/>
        </w:rPr>
        <w:t xml:space="preserve">Figure A.1: </w:t>
      </w:r>
      <w:r w:rsidRPr="00EE1D63">
        <w:rPr>
          <w:rFonts w:asciiTheme="majorBidi" w:hAnsiTheme="majorBidi" w:cstheme="majorBidi"/>
          <w:sz w:val="24"/>
          <w:szCs w:val="24"/>
        </w:rPr>
        <w:t>Movements of Pula-REER and Rand-REER (1975 – 2012)</w:t>
      </w:r>
    </w:p>
    <w:p w:rsidR="00EE1D63" w:rsidRPr="00EE1D63" w:rsidRDefault="00EE1D63" w:rsidP="00EE1D63">
      <w:pPr>
        <w:autoSpaceDE w:val="0"/>
        <w:autoSpaceDN w:val="0"/>
        <w:adjustRightInd w:val="0"/>
        <w:spacing w:after="0" w:line="240" w:lineRule="auto"/>
        <w:jc w:val="both"/>
      </w:pPr>
      <w:r w:rsidRPr="00EE1D63">
        <w:rPr>
          <w:noProof/>
          <w:lang w:val="en-ZA" w:eastAsia="en-ZA" w:bidi="he-IL"/>
        </w:rPr>
        <w:drawing>
          <wp:inline distT="0" distB="0" distL="0" distR="0" wp14:anchorId="404AD450" wp14:editId="11BFD0DD">
            <wp:extent cx="5661660" cy="4122420"/>
            <wp:effectExtent l="0" t="0" r="1524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1D63" w:rsidRPr="00EE1D63" w:rsidRDefault="00EE1D63" w:rsidP="00EE1D63">
      <w:pPr>
        <w:autoSpaceDE w:val="0"/>
        <w:autoSpaceDN w:val="0"/>
        <w:adjustRightInd w:val="0"/>
        <w:spacing w:after="0" w:line="240" w:lineRule="auto"/>
        <w:jc w:val="both"/>
        <w:rPr>
          <w:rFonts w:asciiTheme="majorBidi" w:hAnsiTheme="majorBidi" w:cstheme="majorBidi"/>
          <w:sz w:val="20"/>
          <w:szCs w:val="20"/>
        </w:rPr>
      </w:pPr>
      <w:r w:rsidRPr="00EE1D63">
        <w:rPr>
          <w:rFonts w:asciiTheme="majorBidi" w:hAnsiTheme="majorBidi" w:cstheme="majorBidi"/>
          <w:b/>
          <w:bCs/>
          <w:sz w:val="20"/>
          <w:szCs w:val="20"/>
        </w:rPr>
        <w:t>Note:</w:t>
      </w:r>
      <w:r w:rsidRPr="00EE1D63">
        <w:rPr>
          <w:rFonts w:asciiTheme="majorBidi" w:hAnsiTheme="majorBidi" w:cstheme="majorBidi"/>
          <w:sz w:val="20"/>
          <w:szCs w:val="20"/>
        </w:rPr>
        <w:t xml:space="preserve"> REER denotes real effective exchange rate.</w:t>
      </w:r>
    </w:p>
    <w:p w:rsidR="00EE1D63" w:rsidRPr="00EE1D63" w:rsidRDefault="00EE1D63" w:rsidP="00EE1D63">
      <w:pPr>
        <w:autoSpaceDE w:val="0"/>
        <w:autoSpaceDN w:val="0"/>
        <w:adjustRightInd w:val="0"/>
        <w:spacing w:after="0" w:line="240" w:lineRule="auto"/>
        <w:jc w:val="both"/>
        <w:rPr>
          <w:rFonts w:asciiTheme="majorBidi" w:hAnsiTheme="majorBidi" w:cstheme="majorBidi"/>
          <w:sz w:val="20"/>
          <w:szCs w:val="20"/>
        </w:rPr>
      </w:pPr>
      <w:r w:rsidRPr="00EE1D63">
        <w:rPr>
          <w:rFonts w:asciiTheme="majorBidi" w:hAnsiTheme="majorBidi" w:cstheme="majorBidi"/>
          <w:b/>
          <w:bCs/>
        </w:rPr>
        <w:t>Source:</w:t>
      </w:r>
      <w:r w:rsidRPr="00EE1D63">
        <w:rPr>
          <w:rFonts w:asciiTheme="majorBidi" w:hAnsiTheme="majorBidi" w:cstheme="majorBidi"/>
        </w:rPr>
        <w:t xml:space="preserve"> Constructed by Authors from WDI (2014)</w:t>
      </w:r>
    </w:p>
    <w:p w:rsidR="00EE1D63" w:rsidRPr="00EE1D63" w:rsidRDefault="00EE1D63" w:rsidP="00EE1D63">
      <w:pPr>
        <w:jc w:val="center"/>
        <w:rPr>
          <w:rFonts w:asciiTheme="majorBidi" w:hAnsiTheme="majorBidi" w:cstheme="majorBidi"/>
          <w:sz w:val="24"/>
          <w:szCs w:val="24"/>
        </w:rPr>
      </w:pPr>
    </w:p>
    <w:p w:rsidR="00EE1D63" w:rsidRPr="00EE1D63" w:rsidRDefault="00EE1D63" w:rsidP="00EE1D63">
      <w:pPr>
        <w:jc w:val="center"/>
        <w:rPr>
          <w:rFonts w:asciiTheme="majorBidi" w:hAnsiTheme="majorBidi" w:cstheme="majorBidi"/>
          <w:b/>
          <w:bCs/>
        </w:rPr>
      </w:pPr>
    </w:p>
    <w:p w:rsidR="00EE1D63" w:rsidRPr="00EE1D63" w:rsidRDefault="00EE1D63" w:rsidP="00EE1D63">
      <w:pPr>
        <w:jc w:val="center"/>
        <w:rPr>
          <w:rFonts w:asciiTheme="majorBidi" w:hAnsiTheme="majorBidi" w:cstheme="majorBidi"/>
          <w:b/>
          <w:bCs/>
        </w:rPr>
      </w:pPr>
    </w:p>
    <w:p w:rsidR="00EE1D63" w:rsidRPr="00EE1D63" w:rsidRDefault="00EE1D63" w:rsidP="00EE1D63">
      <w:pPr>
        <w:jc w:val="center"/>
        <w:rPr>
          <w:rFonts w:asciiTheme="majorBidi" w:hAnsiTheme="majorBidi" w:cstheme="majorBidi"/>
          <w:b/>
          <w:bCs/>
        </w:rPr>
      </w:pPr>
    </w:p>
    <w:p w:rsidR="00EE1D63" w:rsidRPr="00EE1D63" w:rsidRDefault="00EE1D63" w:rsidP="00EE1D63">
      <w:pPr>
        <w:jc w:val="center"/>
        <w:rPr>
          <w:rFonts w:asciiTheme="majorBidi" w:hAnsiTheme="majorBidi" w:cstheme="majorBidi"/>
          <w:b/>
          <w:bCs/>
        </w:rPr>
      </w:pPr>
    </w:p>
    <w:p w:rsidR="00EE1D63" w:rsidRPr="00EE1D63" w:rsidRDefault="00EE1D63" w:rsidP="00EE1D63">
      <w:pPr>
        <w:jc w:val="center"/>
        <w:rPr>
          <w:rFonts w:asciiTheme="majorBidi" w:hAnsiTheme="majorBidi" w:cstheme="majorBidi"/>
          <w:b/>
          <w:bCs/>
        </w:rPr>
      </w:pPr>
    </w:p>
    <w:p w:rsidR="00EE1D63" w:rsidRPr="00EE1D63" w:rsidRDefault="00EE1D63" w:rsidP="00EE1D63">
      <w:pPr>
        <w:jc w:val="center"/>
        <w:rPr>
          <w:rFonts w:asciiTheme="majorBidi" w:hAnsiTheme="majorBidi" w:cstheme="majorBidi"/>
          <w:b/>
          <w:bCs/>
        </w:rPr>
      </w:pPr>
    </w:p>
    <w:p w:rsidR="00EE1D63" w:rsidRPr="00EE1D63" w:rsidRDefault="00EE1D63" w:rsidP="00EE1D63">
      <w:pPr>
        <w:jc w:val="center"/>
        <w:rPr>
          <w:rFonts w:asciiTheme="majorBidi" w:hAnsiTheme="majorBidi" w:cstheme="majorBidi"/>
          <w:b/>
          <w:bCs/>
        </w:rPr>
      </w:pPr>
    </w:p>
    <w:p w:rsidR="00EE1D63" w:rsidRPr="00EE1D63" w:rsidRDefault="00EE1D63" w:rsidP="00EE1D63">
      <w:pPr>
        <w:rPr>
          <w:rFonts w:asciiTheme="majorBidi" w:hAnsiTheme="majorBidi" w:cstheme="majorBidi"/>
          <w:b/>
          <w:bCs/>
        </w:rPr>
      </w:pPr>
    </w:p>
    <w:p w:rsidR="00EE1D63" w:rsidRPr="00EE1D63" w:rsidRDefault="00EE1D63" w:rsidP="00EE1D63">
      <w:pPr>
        <w:jc w:val="both"/>
        <w:rPr>
          <w:rFonts w:asciiTheme="majorBidi" w:hAnsiTheme="majorBidi" w:cstheme="majorBidi"/>
        </w:rPr>
      </w:pPr>
      <w:r w:rsidRPr="00EE1D63">
        <w:rPr>
          <w:rFonts w:asciiTheme="majorBidi" w:hAnsiTheme="majorBidi" w:cstheme="majorBidi"/>
          <w:b/>
          <w:bCs/>
        </w:rPr>
        <w:lastRenderedPageBreak/>
        <w:t>Figure A.2:</w:t>
      </w:r>
      <w:r w:rsidRPr="00EE1D63">
        <w:rPr>
          <w:rFonts w:asciiTheme="majorBidi" w:hAnsiTheme="majorBidi" w:cstheme="majorBidi"/>
        </w:rPr>
        <w:t xml:space="preserve"> The Determinants of Real Effective Exchange Rate in Botswana (1975-2012)</w:t>
      </w:r>
    </w:p>
    <w:p w:rsidR="00EE1D63" w:rsidRPr="00EE1D63" w:rsidRDefault="00EE1D63" w:rsidP="00EE1D63">
      <w:pPr>
        <w:jc w:val="both"/>
      </w:pPr>
      <w:r w:rsidRPr="00EE1D63">
        <w:object w:dxaOrig="10008" w:dyaOrig="10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498.15pt" o:ole="">
            <v:imagedata r:id="rId21" o:title=""/>
          </v:shape>
          <o:OLEObject Type="Embed" ProgID="EViews.Workfile.2" ShapeID="_x0000_i1025" DrawAspect="Content" ObjectID="_1521896726" r:id="rId22"/>
        </w:object>
      </w:r>
    </w:p>
    <w:p w:rsidR="00EE1D63" w:rsidRPr="00EE1D63" w:rsidRDefault="00EE1D63" w:rsidP="00EE1D63">
      <w:pPr>
        <w:tabs>
          <w:tab w:val="left" w:pos="1500"/>
        </w:tabs>
        <w:jc w:val="both"/>
        <w:rPr>
          <w:rFonts w:asciiTheme="majorBidi" w:hAnsiTheme="majorBidi" w:cstheme="majorBidi"/>
        </w:rPr>
      </w:pPr>
      <w:r w:rsidRPr="00EE1D63">
        <w:rPr>
          <w:rFonts w:asciiTheme="majorBidi" w:hAnsiTheme="majorBidi" w:cstheme="majorBidi"/>
          <w:b/>
          <w:bCs/>
        </w:rPr>
        <w:t>Source:</w:t>
      </w:r>
      <w:r w:rsidRPr="00EE1D63">
        <w:rPr>
          <w:rFonts w:asciiTheme="majorBidi" w:hAnsiTheme="majorBidi" w:cstheme="majorBidi"/>
        </w:rPr>
        <w:t xml:space="preserve"> Constructed by Authors from WDI (2014) and GEM Commodities (2014).</w:t>
      </w:r>
    </w:p>
    <w:p w:rsidR="00EE1D63" w:rsidRPr="00EE1D63" w:rsidRDefault="00EE1D63" w:rsidP="00EE1D63">
      <w:pPr>
        <w:autoSpaceDE w:val="0"/>
        <w:autoSpaceDN w:val="0"/>
        <w:adjustRightInd w:val="0"/>
        <w:spacing w:after="0" w:line="240" w:lineRule="auto"/>
        <w:jc w:val="center"/>
        <w:rPr>
          <w:rFonts w:asciiTheme="majorBidi" w:hAnsiTheme="majorBidi" w:cstheme="majorBidi"/>
          <w:b/>
          <w:bCs/>
          <w:sz w:val="24"/>
          <w:szCs w:val="24"/>
        </w:rPr>
      </w:pPr>
    </w:p>
    <w:p w:rsidR="00EE1D63" w:rsidRPr="00EE1D63" w:rsidRDefault="00EE1D63" w:rsidP="00EE1D63">
      <w:pPr>
        <w:autoSpaceDE w:val="0"/>
        <w:autoSpaceDN w:val="0"/>
        <w:adjustRightInd w:val="0"/>
        <w:spacing w:after="0" w:line="240" w:lineRule="auto"/>
        <w:jc w:val="center"/>
        <w:rPr>
          <w:rFonts w:asciiTheme="majorBidi" w:hAnsiTheme="majorBidi" w:cstheme="majorBidi"/>
          <w:b/>
          <w:bCs/>
          <w:sz w:val="24"/>
          <w:szCs w:val="24"/>
        </w:rPr>
      </w:pPr>
    </w:p>
    <w:p w:rsidR="00EE1D63" w:rsidRPr="00EE1D63" w:rsidRDefault="00EE1D63" w:rsidP="00EE1D63">
      <w:pPr>
        <w:autoSpaceDE w:val="0"/>
        <w:autoSpaceDN w:val="0"/>
        <w:adjustRightInd w:val="0"/>
        <w:spacing w:after="0" w:line="240" w:lineRule="auto"/>
        <w:jc w:val="center"/>
        <w:rPr>
          <w:rFonts w:asciiTheme="majorBidi" w:hAnsiTheme="majorBidi" w:cstheme="majorBidi"/>
          <w:b/>
          <w:bCs/>
          <w:sz w:val="24"/>
          <w:szCs w:val="24"/>
        </w:rPr>
      </w:pPr>
    </w:p>
    <w:p w:rsidR="00EE1D63" w:rsidRPr="00EE1D63" w:rsidRDefault="00EE1D63" w:rsidP="00EE1D63">
      <w:pPr>
        <w:autoSpaceDE w:val="0"/>
        <w:autoSpaceDN w:val="0"/>
        <w:adjustRightInd w:val="0"/>
        <w:spacing w:after="0" w:line="240" w:lineRule="auto"/>
        <w:jc w:val="center"/>
        <w:rPr>
          <w:rFonts w:asciiTheme="majorBidi" w:hAnsiTheme="majorBidi" w:cstheme="majorBidi"/>
          <w:b/>
          <w:bCs/>
          <w:sz w:val="24"/>
          <w:szCs w:val="24"/>
        </w:rPr>
      </w:pPr>
    </w:p>
    <w:p w:rsidR="00EE1D63" w:rsidRPr="00EE1D63" w:rsidRDefault="00EE1D63" w:rsidP="00EE1D63">
      <w:pPr>
        <w:autoSpaceDE w:val="0"/>
        <w:autoSpaceDN w:val="0"/>
        <w:adjustRightInd w:val="0"/>
        <w:spacing w:after="0" w:line="240" w:lineRule="auto"/>
        <w:jc w:val="center"/>
        <w:rPr>
          <w:rFonts w:asciiTheme="majorBidi" w:hAnsiTheme="majorBidi" w:cstheme="majorBidi"/>
          <w:b/>
          <w:bCs/>
          <w:sz w:val="24"/>
          <w:szCs w:val="24"/>
        </w:rPr>
      </w:pPr>
    </w:p>
    <w:p w:rsidR="00EE1D63" w:rsidRPr="00EE1D63" w:rsidRDefault="00EE1D63" w:rsidP="00EE1D63">
      <w:pPr>
        <w:autoSpaceDE w:val="0"/>
        <w:autoSpaceDN w:val="0"/>
        <w:adjustRightInd w:val="0"/>
        <w:spacing w:after="0" w:line="240" w:lineRule="auto"/>
        <w:rPr>
          <w:rFonts w:asciiTheme="majorBidi" w:hAnsiTheme="majorBidi" w:cstheme="majorBidi"/>
          <w:b/>
          <w:bCs/>
          <w:sz w:val="24"/>
          <w:szCs w:val="24"/>
        </w:rPr>
      </w:pPr>
    </w:p>
    <w:p w:rsidR="00EE1D63" w:rsidRPr="00EE1D63" w:rsidRDefault="00EE1D63" w:rsidP="00EE1D63">
      <w:pPr>
        <w:autoSpaceDE w:val="0"/>
        <w:autoSpaceDN w:val="0"/>
        <w:adjustRightInd w:val="0"/>
        <w:spacing w:after="0" w:line="240" w:lineRule="auto"/>
        <w:jc w:val="center"/>
        <w:rPr>
          <w:rFonts w:asciiTheme="majorBidi" w:hAnsiTheme="majorBidi" w:cstheme="majorBidi"/>
          <w:b/>
          <w:bCs/>
          <w:sz w:val="24"/>
          <w:szCs w:val="24"/>
        </w:rPr>
      </w:pPr>
      <w:r w:rsidRPr="00EE1D63">
        <w:rPr>
          <w:rFonts w:asciiTheme="majorBidi" w:hAnsiTheme="majorBidi" w:cstheme="majorBidi"/>
          <w:b/>
          <w:bCs/>
          <w:sz w:val="24"/>
          <w:szCs w:val="24"/>
        </w:rPr>
        <w:t>APPENDIX B</w:t>
      </w:r>
    </w:p>
    <w:p w:rsidR="00EE1D63" w:rsidRPr="00EE1D63" w:rsidRDefault="00EE1D63" w:rsidP="00EE1D63">
      <w:pPr>
        <w:autoSpaceDE w:val="0"/>
        <w:autoSpaceDN w:val="0"/>
        <w:adjustRightInd w:val="0"/>
        <w:spacing w:after="0" w:line="240" w:lineRule="auto"/>
        <w:jc w:val="center"/>
        <w:rPr>
          <w:rFonts w:asciiTheme="majorBidi" w:hAnsiTheme="majorBidi" w:cstheme="majorBidi"/>
          <w:b/>
          <w:bCs/>
          <w:sz w:val="24"/>
          <w:szCs w:val="24"/>
        </w:rPr>
      </w:pPr>
      <w:r w:rsidRPr="00EE1D63">
        <w:rPr>
          <w:rFonts w:asciiTheme="majorBidi" w:hAnsiTheme="majorBidi" w:cstheme="majorBidi"/>
          <w:b/>
          <w:bCs/>
          <w:sz w:val="24"/>
          <w:szCs w:val="24"/>
        </w:rPr>
        <w:t xml:space="preserve">Some Notes on the </w:t>
      </w:r>
      <w:proofErr w:type="spellStart"/>
      <w:r w:rsidRPr="00EE1D63">
        <w:rPr>
          <w:rFonts w:asciiTheme="majorBidi" w:hAnsiTheme="majorBidi" w:cstheme="majorBidi"/>
          <w:b/>
          <w:bCs/>
          <w:sz w:val="24"/>
          <w:szCs w:val="24"/>
        </w:rPr>
        <w:t>Hodrick</w:t>
      </w:r>
      <w:proofErr w:type="spellEnd"/>
      <w:r w:rsidRPr="00EE1D63">
        <w:rPr>
          <w:rFonts w:asciiTheme="majorBidi" w:hAnsiTheme="majorBidi" w:cstheme="majorBidi"/>
          <w:b/>
          <w:bCs/>
          <w:sz w:val="24"/>
          <w:szCs w:val="24"/>
        </w:rPr>
        <w:t>-Prescott Filter</w:t>
      </w:r>
    </w:p>
    <w:p w:rsidR="00EE1D63" w:rsidRPr="00EE1D63" w:rsidRDefault="00EE1D63" w:rsidP="00EE1D63">
      <w:pPr>
        <w:autoSpaceDE w:val="0"/>
        <w:autoSpaceDN w:val="0"/>
        <w:adjustRightInd w:val="0"/>
        <w:spacing w:after="0" w:line="240" w:lineRule="auto"/>
        <w:jc w:val="center"/>
        <w:rPr>
          <w:rFonts w:asciiTheme="majorBidi" w:hAnsiTheme="majorBidi" w:cstheme="majorBidi"/>
          <w:b/>
          <w:bCs/>
          <w:sz w:val="24"/>
          <w:szCs w:val="24"/>
        </w:rPr>
      </w:pPr>
    </w:p>
    <w:p w:rsidR="00EE1D63" w:rsidRPr="00EE1D63" w:rsidRDefault="00EE1D63" w:rsidP="00EE1D63">
      <w:pPr>
        <w:autoSpaceDE w:val="0"/>
        <w:autoSpaceDN w:val="0"/>
        <w:adjustRightInd w:val="0"/>
        <w:spacing w:line="360" w:lineRule="auto"/>
        <w:jc w:val="both"/>
        <w:rPr>
          <w:rFonts w:asciiTheme="majorBidi" w:hAnsiTheme="majorBidi" w:cstheme="majorBidi"/>
          <w:bCs/>
          <w:sz w:val="24"/>
          <w:szCs w:val="24"/>
        </w:rPr>
      </w:pPr>
      <w:r w:rsidRPr="00EE1D63">
        <w:rPr>
          <w:rFonts w:asciiTheme="majorBidi" w:hAnsiTheme="majorBidi" w:cstheme="majorBidi"/>
          <w:bCs/>
          <w:sz w:val="24"/>
          <w:szCs w:val="24"/>
        </w:rPr>
        <w:t xml:space="preserve">The </w:t>
      </w:r>
      <w:proofErr w:type="spellStart"/>
      <w:r w:rsidRPr="00EE1D63">
        <w:rPr>
          <w:rFonts w:asciiTheme="majorBidi" w:hAnsiTheme="majorBidi" w:cstheme="majorBidi"/>
          <w:bCs/>
          <w:sz w:val="24"/>
          <w:szCs w:val="24"/>
        </w:rPr>
        <w:t>Hodrick</w:t>
      </w:r>
      <w:proofErr w:type="spellEnd"/>
      <w:r w:rsidRPr="00EE1D63">
        <w:rPr>
          <w:rFonts w:asciiTheme="majorBidi" w:hAnsiTheme="majorBidi" w:cstheme="majorBidi"/>
          <w:bCs/>
          <w:sz w:val="24"/>
          <w:szCs w:val="24"/>
        </w:rPr>
        <w:t xml:space="preserve">-Prescott (HP) filter or decomposition is a technique employed in macroeconomics and </w:t>
      </w:r>
      <w:proofErr w:type="spellStart"/>
      <w:r w:rsidRPr="00EE1D63">
        <w:rPr>
          <w:rFonts w:asciiTheme="majorBidi" w:hAnsiTheme="majorBidi" w:cstheme="majorBidi"/>
          <w:bCs/>
          <w:sz w:val="24"/>
          <w:szCs w:val="24"/>
        </w:rPr>
        <w:t>macroeconometrics</w:t>
      </w:r>
      <w:proofErr w:type="spellEnd"/>
      <w:r w:rsidRPr="00EE1D63">
        <w:rPr>
          <w:rFonts w:asciiTheme="majorBidi" w:hAnsiTheme="majorBidi" w:cstheme="majorBidi"/>
          <w:bCs/>
          <w:sz w:val="24"/>
          <w:szCs w:val="24"/>
        </w:rPr>
        <w:t xml:space="preserve"> to decompose a time series into cyclical and trend components. The technique was proposed by Whittaker (1923). But it was not until the seminal paper of </w:t>
      </w:r>
      <w:proofErr w:type="spellStart"/>
      <w:r w:rsidRPr="00EE1D63">
        <w:rPr>
          <w:rFonts w:asciiTheme="majorBidi" w:hAnsiTheme="majorBidi" w:cstheme="majorBidi"/>
          <w:bCs/>
          <w:sz w:val="24"/>
          <w:szCs w:val="24"/>
        </w:rPr>
        <w:t>Hodrick</w:t>
      </w:r>
      <w:proofErr w:type="spellEnd"/>
      <w:r w:rsidRPr="00EE1D63">
        <w:rPr>
          <w:rFonts w:asciiTheme="majorBidi" w:hAnsiTheme="majorBidi" w:cstheme="majorBidi"/>
          <w:bCs/>
          <w:sz w:val="24"/>
          <w:szCs w:val="24"/>
        </w:rPr>
        <w:t xml:space="preserve"> and Prescott (1997), when the HP-filter gained immense recognition. The main importance of the HP-filter lies in its ability to provide a smooth-curve representation of a time series which is susceptible to long-run impacts than cyclical fluctuations. </w:t>
      </w:r>
    </w:p>
    <w:p w:rsidR="00EE1D63" w:rsidRPr="00EE1D63" w:rsidRDefault="00EE1D63" w:rsidP="00EE1D63">
      <w:pPr>
        <w:autoSpaceDE w:val="0"/>
        <w:autoSpaceDN w:val="0"/>
        <w:adjustRightInd w:val="0"/>
        <w:spacing w:line="360" w:lineRule="auto"/>
        <w:jc w:val="both"/>
        <w:rPr>
          <w:rFonts w:asciiTheme="majorBidi" w:eastAsiaTheme="minorEastAsia" w:hAnsiTheme="majorBidi" w:cstheme="majorBidi"/>
          <w:bCs/>
          <w:sz w:val="24"/>
          <w:szCs w:val="24"/>
        </w:rPr>
      </w:pPr>
      <w:r w:rsidRPr="00EE1D63">
        <w:rPr>
          <w:rFonts w:asciiTheme="majorBidi" w:hAnsiTheme="majorBidi" w:cstheme="majorBidi"/>
          <w:bCs/>
          <w:sz w:val="24"/>
          <w:szCs w:val="24"/>
        </w:rPr>
        <w:t xml:space="preserve">The HP-filter is derived on the basis that a time series, </w:t>
      </w:r>
      <w:proofErr w:type="gramStart"/>
      <w:r w:rsidRPr="00EE1D63">
        <w:rPr>
          <w:rFonts w:asciiTheme="majorBidi" w:hAnsiTheme="majorBidi" w:cstheme="majorBidi"/>
          <w:bCs/>
          <w:sz w:val="24"/>
          <w:szCs w:val="24"/>
        </w:rPr>
        <w:t xml:space="preserve">say </w:t>
      </w:r>
      <m:oMath>
        <m:sSub>
          <m:sSubPr>
            <m:ctrlPr>
              <w:rPr>
                <w:rFonts w:ascii="Cambria Math" w:hAnsi="Cambria Math" w:cstheme="majorBidi"/>
                <w:bCs/>
                <w:i/>
                <w:sz w:val="24"/>
                <w:szCs w:val="24"/>
              </w:rPr>
            </m:ctrlPr>
          </m:sSubPr>
          <m:e>
            <w:proofErr w:type="gramEnd"/>
            <m:r>
              <w:rPr>
                <w:rFonts w:ascii="Cambria Math" w:hAnsi="Cambria Math" w:cstheme="majorBidi"/>
                <w:sz w:val="24"/>
                <w:szCs w:val="24"/>
              </w:rPr>
              <m:t>x</m:t>
            </m:r>
          </m:e>
          <m:sub>
            <m:r>
              <w:rPr>
                <w:rFonts w:ascii="Cambria Math" w:hAnsi="Cambria Math" w:cstheme="majorBidi"/>
                <w:sz w:val="24"/>
                <w:szCs w:val="24"/>
              </w:rPr>
              <m:t>t</m:t>
            </m:r>
          </m:sub>
        </m:sSub>
      </m:oMath>
      <w:r w:rsidRPr="00EE1D63">
        <w:rPr>
          <w:rFonts w:asciiTheme="majorBidi" w:hAnsiTheme="majorBidi" w:cstheme="majorBidi"/>
          <w:bCs/>
          <w:sz w:val="24"/>
          <w:szCs w:val="24"/>
        </w:rPr>
        <w:t xml:space="preserve"> , could be decomposed into a trend (</w:t>
      </w:r>
      <m:oMath>
        <m:sSub>
          <m:sSubPr>
            <m:ctrlPr>
              <w:rPr>
                <w:rFonts w:ascii="Cambria Math" w:hAnsi="Cambria Math" w:cstheme="majorBidi"/>
                <w:bCs/>
                <w:i/>
                <w:sz w:val="24"/>
                <w:szCs w:val="24"/>
              </w:rPr>
            </m:ctrlPr>
          </m:sSubPr>
          <m:e>
            <m:r>
              <w:rPr>
                <w:rFonts w:ascii="Cambria Math" w:hAnsi="Cambria Math" w:cstheme="majorBidi"/>
                <w:sz w:val="24"/>
                <w:szCs w:val="24"/>
              </w:rPr>
              <m:t>τ</m:t>
            </m:r>
          </m:e>
          <m:sub>
            <m:r>
              <w:rPr>
                <w:rFonts w:ascii="Cambria Math" w:hAnsi="Cambria Math" w:cstheme="majorBidi"/>
                <w:sz w:val="24"/>
                <w:szCs w:val="24"/>
              </w:rPr>
              <m:t>t</m:t>
            </m:r>
          </m:sub>
        </m:sSub>
      </m:oMath>
      <w:r w:rsidRPr="00EE1D63">
        <w:rPr>
          <w:rFonts w:asciiTheme="majorBidi" w:hAnsiTheme="majorBidi" w:cstheme="majorBidi"/>
          <w:bCs/>
          <w:sz w:val="24"/>
          <w:szCs w:val="24"/>
        </w:rPr>
        <w:t>) and cyclical component (</w:t>
      </w:r>
      <m:oMath>
        <m:sSub>
          <m:sSubPr>
            <m:ctrlPr>
              <w:rPr>
                <w:rFonts w:ascii="Cambria Math" w:hAnsi="Cambria Math" w:cstheme="majorBidi"/>
                <w:bCs/>
                <w:i/>
                <w:sz w:val="24"/>
                <w:szCs w:val="24"/>
              </w:rPr>
            </m:ctrlPr>
          </m:sSubPr>
          <m:e>
            <m:r>
              <w:rPr>
                <w:rFonts w:ascii="Cambria Math" w:hAnsi="Cambria Math" w:cstheme="majorBidi"/>
                <w:sz w:val="24"/>
                <w:szCs w:val="24"/>
              </w:rPr>
              <m:t>c</m:t>
            </m:r>
          </m:e>
          <m:sub>
            <m:r>
              <w:rPr>
                <w:rFonts w:ascii="Cambria Math" w:hAnsi="Cambria Math" w:cstheme="majorBidi"/>
                <w:sz w:val="24"/>
                <w:szCs w:val="24"/>
              </w:rPr>
              <m:t>t</m:t>
            </m:r>
          </m:sub>
        </m:sSub>
      </m:oMath>
      <w:r w:rsidRPr="00EE1D63">
        <w:rPr>
          <w:rFonts w:asciiTheme="majorBidi" w:hAnsiTheme="majorBidi" w:cstheme="majorBidi"/>
          <w:bCs/>
          <w:sz w:val="24"/>
          <w:szCs w:val="24"/>
        </w:rPr>
        <w:t xml:space="preserve">). Assuming, from this intuition, </w:t>
      </w:r>
      <w:proofErr w:type="gramStart"/>
      <w:r w:rsidRPr="00EE1D63">
        <w:rPr>
          <w:rFonts w:asciiTheme="majorBidi" w:hAnsiTheme="majorBidi" w:cstheme="majorBidi"/>
          <w:bCs/>
          <w:sz w:val="24"/>
          <w:szCs w:val="24"/>
        </w:rPr>
        <w:t xml:space="preserve">that </w:t>
      </w:r>
      <w:proofErr w:type="gramEnd"/>
      <m:oMath>
        <m:sSub>
          <m:sSubPr>
            <m:ctrlPr>
              <w:rPr>
                <w:rFonts w:ascii="Cambria Math" w:hAnsi="Cambria Math" w:cstheme="majorBidi"/>
                <w:bCs/>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τ</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c</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μ</m:t>
            </m:r>
          </m:e>
          <m:sub>
            <m:r>
              <w:rPr>
                <w:rFonts w:ascii="Cambria Math" w:hAnsi="Cambria Math" w:cstheme="majorBidi"/>
                <w:sz w:val="24"/>
                <w:szCs w:val="24"/>
              </w:rPr>
              <m:t>t</m:t>
            </m:r>
          </m:sub>
        </m:sSub>
      </m:oMath>
      <w:r w:rsidRPr="00EE1D63">
        <w:rPr>
          <w:rFonts w:asciiTheme="majorBidi" w:eastAsiaTheme="minorEastAsia" w:hAnsiTheme="majorBidi" w:cstheme="majorBidi"/>
          <w:bCs/>
          <w:sz w:val="24"/>
          <w:szCs w:val="24"/>
        </w:rPr>
        <w:t xml:space="preserve">, where </w:t>
      </w:r>
      <m:oMath>
        <m:sSub>
          <m:sSubPr>
            <m:ctrlPr>
              <w:rPr>
                <w:rFonts w:ascii="Cambria Math" w:hAnsi="Cambria Math" w:cstheme="majorBidi"/>
                <w:bCs/>
                <w:i/>
                <w:sz w:val="24"/>
                <w:szCs w:val="24"/>
              </w:rPr>
            </m:ctrlPr>
          </m:sSubPr>
          <m:e>
            <m:r>
              <w:rPr>
                <w:rFonts w:ascii="Cambria Math" w:hAnsi="Cambria Math" w:cstheme="majorBidi"/>
                <w:sz w:val="24"/>
                <w:szCs w:val="24"/>
              </w:rPr>
              <m:t>μ</m:t>
            </m:r>
          </m:e>
          <m:sub>
            <m:r>
              <w:rPr>
                <w:rFonts w:ascii="Cambria Math" w:hAnsi="Cambria Math" w:cstheme="majorBidi"/>
                <w:sz w:val="24"/>
                <w:szCs w:val="24"/>
              </w:rPr>
              <m:t>t</m:t>
            </m:r>
          </m:sub>
        </m:sSub>
      </m:oMath>
      <w:r w:rsidRPr="00EE1D63">
        <w:rPr>
          <w:rFonts w:asciiTheme="majorBidi" w:eastAsiaTheme="minorEastAsia" w:hAnsiTheme="majorBidi" w:cstheme="majorBidi"/>
          <w:bCs/>
          <w:sz w:val="24"/>
          <w:szCs w:val="24"/>
        </w:rPr>
        <w:t xml:space="preserve"> is the error term of the time series at period </w:t>
      </w:r>
      <w:r w:rsidRPr="00EE1D63">
        <w:rPr>
          <w:rFonts w:asciiTheme="majorBidi" w:eastAsiaTheme="minorEastAsia" w:hAnsiTheme="majorBidi" w:cstheme="majorBidi"/>
          <w:bCs/>
          <w:i/>
          <w:sz w:val="24"/>
          <w:szCs w:val="24"/>
        </w:rPr>
        <w:t xml:space="preserve">t. </w:t>
      </w:r>
      <w:r w:rsidRPr="00EE1D63">
        <w:rPr>
          <w:rFonts w:asciiTheme="majorBidi" w:eastAsiaTheme="minorEastAsia" w:hAnsiTheme="majorBidi" w:cstheme="majorBidi"/>
          <w:bCs/>
          <w:sz w:val="24"/>
          <w:szCs w:val="24"/>
        </w:rPr>
        <w:t xml:space="preserve">Then, there exist a positive value of a </w:t>
      </w:r>
      <w:proofErr w:type="gramStart"/>
      <w:r w:rsidRPr="00EE1D63">
        <w:rPr>
          <w:rFonts w:asciiTheme="majorBidi" w:eastAsiaTheme="minorEastAsia" w:hAnsiTheme="majorBidi" w:cstheme="majorBidi"/>
          <w:bCs/>
          <w:sz w:val="24"/>
          <w:szCs w:val="24"/>
        </w:rPr>
        <w:t xml:space="preserve">multiplier </w:t>
      </w:r>
      <w:proofErr w:type="gramEnd"/>
      <m:oMath>
        <m:r>
          <w:rPr>
            <w:rFonts w:ascii="Cambria Math" w:eastAsiaTheme="minorEastAsia" w:hAnsi="Cambria Math" w:cstheme="majorBidi"/>
            <w:sz w:val="24"/>
            <w:szCs w:val="24"/>
          </w:rPr>
          <m:t>λ</m:t>
        </m:r>
      </m:oMath>
      <w:r w:rsidRPr="00EE1D63">
        <w:rPr>
          <w:rFonts w:asciiTheme="majorBidi" w:eastAsiaTheme="minorEastAsia" w:hAnsiTheme="majorBidi" w:cstheme="majorBidi"/>
          <w:bCs/>
          <w:sz w:val="24"/>
          <w:szCs w:val="24"/>
        </w:rPr>
        <w:t xml:space="preserve">, such that </w:t>
      </w:r>
      <m:oMath>
        <m:r>
          <w:rPr>
            <w:rFonts w:ascii="Cambria Math" w:eastAsiaTheme="minorEastAsia" w:hAnsi="Cambria Math" w:cstheme="majorBidi"/>
            <w:sz w:val="24"/>
            <w:szCs w:val="24"/>
          </w:rPr>
          <m:t>τ</m:t>
        </m:r>
      </m:oMath>
      <w:r w:rsidRPr="00EE1D63">
        <w:rPr>
          <w:rFonts w:asciiTheme="majorBidi" w:eastAsiaTheme="minorEastAsia" w:hAnsiTheme="majorBidi" w:cstheme="majorBidi"/>
          <w:bCs/>
          <w:sz w:val="24"/>
          <w:szCs w:val="24"/>
        </w:rPr>
        <w:t xml:space="preserve"> solves the minimization problem:</w:t>
      </w:r>
    </w:p>
    <w:p w:rsidR="00EE1D63" w:rsidRPr="00EE1D63" w:rsidRDefault="00F672A0" w:rsidP="00EE1D63">
      <w:pPr>
        <w:autoSpaceDE w:val="0"/>
        <w:autoSpaceDN w:val="0"/>
        <w:adjustRightInd w:val="0"/>
        <w:spacing w:after="0" w:line="240" w:lineRule="auto"/>
        <w:jc w:val="both"/>
        <w:rPr>
          <w:rFonts w:asciiTheme="majorBidi" w:hAnsiTheme="majorBidi" w:cstheme="majorBidi"/>
          <w:bCs/>
          <w:sz w:val="24"/>
          <w:szCs w:val="24"/>
        </w:rPr>
      </w:pPr>
      <m:oMathPara>
        <m:oMath>
          <m:func>
            <m:funcPr>
              <m:ctrlPr>
                <w:rPr>
                  <w:rFonts w:ascii="Cambria Math" w:hAnsi="Cambria Math" w:cstheme="majorBidi"/>
                  <w:bCs/>
                  <w:i/>
                  <w:sz w:val="24"/>
                  <w:szCs w:val="24"/>
                </w:rPr>
              </m:ctrlPr>
            </m:funcPr>
            <m:fName>
              <m:limLow>
                <m:limLowPr>
                  <m:ctrlPr>
                    <w:rPr>
                      <w:rFonts w:ascii="Cambria Math" w:hAnsi="Cambria Math" w:cstheme="majorBidi"/>
                      <w:bCs/>
                      <w:i/>
                      <w:sz w:val="24"/>
                      <w:szCs w:val="24"/>
                    </w:rPr>
                  </m:ctrlPr>
                </m:limLowPr>
                <m:e>
                  <m:r>
                    <m:rPr>
                      <m:sty m:val="p"/>
                    </m:rPr>
                    <w:rPr>
                      <w:rFonts w:ascii="Cambria Math" w:hAnsi="Cambria Math" w:cstheme="majorBidi"/>
                      <w:sz w:val="24"/>
                      <w:szCs w:val="24"/>
                    </w:rPr>
                    <m:t>min</m:t>
                  </m:r>
                </m:e>
                <m:lim>
                  <m:r>
                    <w:rPr>
                      <w:rFonts w:ascii="Cambria Math" w:hAnsi="Cambria Math" w:cstheme="majorBidi"/>
                      <w:sz w:val="24"/>
                      <w:szCs w:val="24"/>
                    </w:rPr>
                    <m:t>t</m:t>
                  </m:r>
                </m:lim>
              </m:limLow>
            </m:fName>
            <m:e>
              <m:d>
                <m:dPr>
                  <m:ctrlPr>
                    <w:rPr>
                      <w:rFonts w:ascii="Cambria Math" w:hAnsi="Cambria Math" w:cstheme="majorBidi"/>
                      <w:bCs/>
                      <w:i/>
                      <w:sz w:val="24"/>
                      <w:szCs w:val="24"/>
                    </w:rPr>
                  </m:ctrlPr>
                </m:dPr>
                <m:e>
                  <m:nary>
                    <m:naryPr>
                      <m:chr m:val="∑"/>
                      <m:limLoc m:val="undOvr"/>
                      <m:ctrlPr>
                        <w:rPr>
                          <w:rFonts w:ascii="Cambria Math" w:hAnsi="Cambria Math" w:cstheme="majorBidi"/>
                          <w:bCs/>
                          <w:i/>
                          <w:sz w:val="24"/>
                          <w:szCs w:val="24"/>
                        </w:rPr>
                      </m:ctrlPr>
                    </m:naryPr>
                    <m:sub>
                      <m:r>
                        <w:rPr>
                          <w:rFonts w:ascii="Cambria Math" w:hAnsi="Cambria Math" w:cstheme="majorBidi"/>
                          <w:sz w:val="24"/>
                          <w:szCs w:val="24"/>
                        </w:rPr>
                        <m:t>t=1</m:t>
                      </m:r>
                    </m:sub>
                    <m:sup>
                      <m:r>
                        <w:rPr>
                          <w:rFonts w:ascii="Cambria Math" w:hAnsi="Cambria Math" w:cstheme="majorBidi"/>
                          <w:sz w:val="24"/>
                          <w:szCs w:val="24"/>
                        </w:rPr>
                        <m:t>T</m:t>
                      </m:r>
                    </m:sup>
                    <m:e>
                      <m:sSup>
                        <m:sSupPr>
                          <m:ctrlPr>
                            <w:rPr>
                              <w:rFonts w:ascii="Cambria Math" w:hAnsi="Cambria Math" w:cstheme="majorBidi"/>
                              <w:bCs/>
                              <w:i/>
                              <w:sz w:val="24"/>
                              <w:szCs w:val="24"/>
                            </w:rPr>
                          </m:ctrlPr>
                        </m:sSupPr>
                        <m:e>
                          <m:d>
                            <m:dPr>
                              <m:ctrlPr>
                                <w:rPr>
                                  <w:rFonts w:ascii="Cambria Math" w:hAnsi="Cambria Math" w:cstheme="majorBidi"/>
                                  <w:bCs/>
                                  <w:i/>
                                  <w:sz w:val="24"/>
                                  <w:szCs w:val="24"/>
                                </w:rPr>
                              </m:ctrlPr>
                            </m:dPr>
                            <m:e>
                              <m:sSub>
                                <m:sSubPr>
                                  <m:ctrlPr>
                                    <w:rPr>
                                      <w:rFonts w:ascii="Cambria Math" w:hAnsi="Cambria Math" w:cstheme="majorBidi"/>
                                      <w:bCs/>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τ</m:t>
                                  </m:r>
                                </m:e>
                                <m:sub>
                                  <m:r>
                                    <w:rPr>
                                      <w:rFonts w:ascii="Cambria Math" w:hAnsi="Cambria Math" w:cstheme="majorBidi"/>
                                      <w:sz w:val="24"/>
                                      <w:szCs w:val="24"/>
                                    </w:rPr>
                                    <m:t>t</m:t>
                                  </m:r>
                                </m:sub>
                              </m:sSub>
                            </m:e>
                          </m:d>
                        </m:e>
                        <m:sup>
                          <m:r>
                            <w:rPr>
                              <w:rFonts w:ascii="Cambria Math" w:hAnsi="Cambria Math" w:cstheme="majorBidi"/>
                              <w:sz w:val="24"/>
                              <w:szCs w:val="24"/>
                            </w:rPr>
                            <m:t>2</m:t>
                          </m:r>
                        </m:sup>
                      </m:sSup>
                      <m:r>
                        <w:rPr>
                          <w:rFonts w:ascii="Cambria Math" w:hAnsi="Cambria Math" w:cstheme="majorBidi"/>
                          <w:sz w:val="24"/>
                          <w:szCs w:val="24"/>
                        </w:rPr>
                        <m:t>+λ</m:t>
                      </m:r>
                      <m:nary>
                        <m:naryPr>
                          <m:chr m:val="∑"/>
                          <m:limLoc m:val="undOvr"/>
                          <m:ctrlPr>
                            <w:rPr>
                              <w:rFonts w:ascii="Cambria Math" w:hAnsi="Cambria Math" w:cstheme="majorBidi"/>
                              <w:bCs/>
                              <w:i/>
                              <w:sz w:val="24"/>
                              <w:szCs w:val="24"/>
                            </w:rPr>
                          </m:ctrlPr>
                        </m:naryPr>
                        <m:sub>
                          <m:r>
                            <w:rPr>
                              <w:rFonts w:ascii="Cambria Math" w:hAnsi="Cambria Math" w:cstheme="majorBidi"/>
                              <w:sz w:val="24"/>
                              <w:szCs w:val="24"/>
                            </w:rPr>
                            <m:t>t=2</m:t>
                          </m:r>
                        </m:sub>
                        <m:sup>
                          <m:r>
                            <w:rPr>
                              <w:rFonts w:ascii="Cambria Math" w:hAnsi="Cambria Math" w:cstheme="majorBidi"/>
                              <w:sz w:val="24"/>
                              <w:szCs w:val="24"/>
                            </w:rPr>
                            <m:t>T-1</m:t>
                          </m:r>
                        </m:sup>
                        <m:e>
                          <m:sSup>
                            <m:sSupPr>
                              <m:ctrlPr>
                                <w:rPr>
                                  <w:rFonts w:ascii="Cambria Math" w:hAnsi="Cambria Math" w:cstheme="majorBidi"/>
                                  <w:bCs/>
                                  <w:i/>
                                  <w:sz w:val="24"/>
                                  <w:szCs w:val="24"/>
                                </w:rPr>
                              </m:ctrlPr>
                            </m:sSupPr>
                            <m:e>
                              <m:r>
                                <w:rPr>
                                  <w:rFonts w:ascii="Cambria Math" w:hAnsi="Cambria Math" w:cstheme="majorBidi"/>
                                  <w:sz w:val="24"/>
                                  <w:szCs w:val="24"/>
                                </w:rPr>
                                <m:t>[</m:t>
                              </m:r>
                              <m:d>
                                <m:dPr>
                                  <m:ctrlPr>
                                    <w:rPr>
                                      <w:rFonts w:ascii="Cambria Math" w:hAnsi="Cambria Math" w:cstheme="majorBidi"/>
                                      <w:bCs/>
                                      <w:i/>
                                      <w:sz w:val="24"/>
                                      <w:szCs w:val="24"/>
                                    </w:rPr>
                                  </m:ctrlPr>
                                </m:dPr>
                                <m:e>
                                  <m:sSub>
                                    <m:sSubPr>
                                      <m:ctrlPr>
                                        <w:rPr>
                                          <w:rFonts w:ascii="Cambria Math" w:hAnsi="Cambria Math" w:cstheme="majorBidi"/>
                                          <w:bCs/>
                                          <w:i/>
                                          <w:sz w:val="24"/>
                                          <w:szCs w:val="24"/>
                                        </w:rPr>
                                      </m:ctrlPr>
                                    </m:sSubPr>
                                    <m:e>
                                      <m:r>
                                        <w:rPr>
                                          <w:rFonts w:ascii="Cambria Math" w:hAnsi="Cambria Math" w:cstheme="majorBidi"/>
                                          <w:sz w:val="24"/>
                                          <w:szCs w:val="24"/>
                                        </w:rPr>
                                        <m:t>τ</m:t>
                                      </m:r>
                                    </m:e>
                                    <m:sub>
                                      <m:r>
                                        <w:rPr>
                                          <w:rFonts w:ascii="Cambria Math" w:hAnsi="Cambria Math" w:cstheme="majorBidi"/>
                                          <w:sz w:val="24"/>
                                          <w:szCs w:val="24"/>
                                        </w:rPr>
                                        <m:t>t+1</m:t>
                                      </m:r>
                                    </m:sub>
                                  </m:sSub>
                                  <m:r>
                                    <w:rPr>
                                      <w:rFonts w:ascii="Cambria Math"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τ</m:t>
                                      </m:r>
                                    </m:e>
                                    <m:sub>
                                      <m:r>
                                        <w:rPr>
                                          <w:rFonts w:ascii="Cambria Math" w:hAnsi="Cambria Math" w:cstheme="majorBidi"/>
                                          <w:sz w:val="24"/>
                                          <w:szCs w:val="24"/>
                                        </w:rPr>
                                        <m:t>t</m:t>
                                      </m:r>
                                    </m:sub>
                                  </m:sSub>
                                </m:e>
                              </m:d>
                              <m:r>
                                <w:rPr>
                                  <w:rFonts w:ascii="Cambria Math"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τ</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τ</m:t>
                                  </m:r>
                                </m:e>
                                <m:sub>
                                  <m:r>
                                    <w:rPr>
                                      <w:rFonts w:ascii="Cambria Math" w:hAnsi="Cambria Math" w:cstheme="majorBidi"/>
                                      <w:sz w:val="24"/>
                                      <w:szCs w:val="24"/>
                                    </w:rPr>
                                    <m:t>t-1</m:t>
                                  </m:r>
                                </m:sub>
                              </m:sSub>
                              <m:r>
                                <w:rPr>
                                  <w:rFonts w:ascii="Cambria Math" w:hAnsi="Cambria Math" w:cstheme="majorBidi"/>
                                  <w:sz w:val="24"/>
                                  <w:szCs w:val="24"/>
                                </w:rPr>
                                <m:t>)]</m:t>
                              </m:r>
                            </m:e>
                            <m:sup>
                              <m:r>
                                <w:rPr>
                                  <w:rFonts w:ascii="Cambria Math" w:hAnsi="Cambria Math" w:cstheme="majorBidi"/>
                                  <w:sz w:val="24"/>
                                  <w:szCs w:val="24"/>
                                </w:rPr>
                                <m:t>2</m:t>
                              </m:r>
                            </m:sup>
                          </m:sSup>
                        </m:e>
                      </m:nary>
                    </m:e>
                  </m:nary>
                </m:e>
              </m:d>
            </m:e>
          </m:func>
        </m:oMath>
      </m:oMathPara>
    </w:p>
    <w:p w:rsidR="00EE1D63" w:rsidRPr="00EE1D63" w:rsidRDefault="00EE1D63" w:rsidP="00EE1D63">
      <w:pPr>
        <w:rPr>
          <w:rFonts w:asciiTheme="majorBidi" w:hAnsiTheme="majorBidi" w:cstheme="majorBidi"/>
          <w:sz w:val="24"/>
          <w:szCs w:val="24"/>
        </w:rPr>
      </w:pPr>
    </w:p>
    <w:p w:rsidR="00EE1D63" w:rsidRPr="00EE1D63" w:rsidRDefault="00EE1D63" w:rsidP="00EE1D63">
      <w:pPr>
        <w:spacing w:line="360" w:lineRule="auto"/>
        <w:jc w:val="both"/>
        <w:rPr>
          <w:rFonts w:asciiTheme="majorBidi" w:hAnsiTheme="majorBidi" w:cstheme="majorBidi"/>
          <w:sz w:val="24"/>
          <w:szCs w:val="24"/>
        </w:rPr>
      </w:pPr>
      <w:r w:rsidRPr="00EE1D63">
        <w:rPr>
          <w:rFonts w:asciiTheme="majorBidi" w:hAnsiTheme="majorBidi" w:cstheme="majorBidi"/>
          <w:sz w:val="24"/>
          <w:szCs w:val="24"/>
        </w:rPr>
        <w:t xml:space="preserve">According to </w:t>
      </w:r>
      <w:proofErr w:type="spellStart"/>
      <w:r w:rsidRPr="00EE1D63">
        <w:rPr>
          <w:rFonts w:asciiTheme="majorBidi" w:hAnsiTheme="majorBidi" w:cstheme="majorBidi"/>
          <w:sz w:val="24"/>
          <w:szCs w:val="24"/>
        </w:rPr>
        <w:t>Hodrick</w:t>
      </w:r>
      <w:proofErr w:type="spellEnd"/>
      <w:r w:rsidRPr="00EE1D63">
        <w:rPr>
          <w:rFonts w:asciiTheme="majorBidi" w:hAnsiTheme="majorBidi" w:cstheme="majorBidi"/>
          <w:sz w:val="24"/>
          <w:szCs w:val="24"/>
        </w:rPr>
        <w:t xml:space="preserve"> and Prescott (1997), the sum of the squared deviations </w:t>
      </w:r>
      <m:oMath>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τ</m:t>
            </m:r>
          </m:e>
          <m:sub>
            <m:r>
              <w:rPr>
                <w:rFonts w:ascii="Cambria Math" w:hAnsi="Cambria Math" w:cstheme="majorBidi"/>
                <w:sz w:val="24"/>
                <w:szCs w:val="24"/>
              </w:rPr>
              <m:t>t</m:t>
            </m:r>
          </m:sub>
        </m:sSub>
      </m:oMath>
      <w:r w:rsidRPr="00EE1D63">
        <w:rPr>
          <w:rFonts w:asciiTheme="majorBidi" w:eastAsiaTheme="minorEastAsia" w:hAnsiTheme="majorBidi" w:cstheme="majorBidi"/>
          <w:sz w:val="24"/>
          <w:szCs w:val="24"/>
        </w:rPr>
        <w:t xml:space="preserve"> penalizes the short-run fluctuations in the time series. The second term is a multiple of the multiplier (</w:t>
      </w:r>
      <m:oMath>
        <m:r>
          <w:rPr>
            <w:rFonts w:ascii="Cambria Math" w:hAnsi="Cambria Math" w:cstheme="majorBidi"/>
            <w:sz w:val="24"/>
            <w:szCs w:val="24"/>
          </w:rPr>
          <m:t>λ</m:t>
        </m:r>
      </m:oMath>
      <w:r w:rsidRPr="00EE1D63">
        <w:rPr>
          <w:rFonts w:asciiTheme="majorBidi" w:eastAsiaTheme="minorEastAsia" w:hAnsiTheme="majorBidi" w:cstheme="majorBidi"/>
          <w:bCs/>
          <w:sz w:val="24"/>
          <w:szCs w:val="24"/>
        </w:rPr>
        <w:t xml:space="preserve">) and the sum of squares of the second differences in the trend component of the series. This term penalizes deviations in the growth of the trend component of the time series. Higher values of </w:t>
      </w:r>
      <m:oMath>
        <m:r>
          <w:rPr>
            <w:rFonts w:ascii="Cambria Math" w:hAnsi="Cambria Math" w:cstheme="majorBidi"/>
            <w:sz w:val="24"/>
            <w:szCs w:val="24"/>
          </w:rPr>
          <m:t>λ</m:t>
        </m:r>
      </m:oMath>
      <w:r w:rsidRPr="00EE1D63">
        <w:rPr>
          <w:rFonts w:asciiTheme="majorBidi" w:eastAsiaTheme="minorEastAsia" w:hAnsiTheme="majorBidi" w:cstheme="majorBidi"/>
          <w:bCs/>
          <w:sz w:val="24"/>
          <w:szCs w:val="24"/>
        </w:rPr>
        <w:t xml:space="preserve"> entails higher penalties. For quarterly data, </w:t>
      </w:r>
      <w:proofErr w:type="spellStart"/>
      <w:r w:rsidRPr="00EE1D63">
        <w:rPr>
          <w:rFonts w:asciiTheme="majorBidi" w:hAnsiTheme="majorBidi" w:cstheme="majorBidi"/>
          <w:sz w:val="24"/>
          <w:szCs w:val="24"/>
        </w:rPr>
        <w:t>Hodrick</w:t>
      </w:r>
      <w:proofErr w:type="spellEnd"/>
      <w:r w:rsidRPr="00EE1D63">
        <w:rPr>
          <w:rFonts w:asciiTheme="majorBidi" w:hAnsiTheme="majorBidi" w:cstheme="majorBidi"/>
          <w:sz w:val="24"/>
          <w:szCs w:val="24"/>
        </w:rPr>
        <w:t xml:space="preserve"> and Prescott (1997) suggest that </w:t>
      </w:r>
      <m:oMath>
        <m:r>
          <w:rPr>
            <w:rFonts w:ascii="Cambria Math" w:hAnsi="Cambria Math" w:cstheme="majorBidi"/>
            <w:sz w:val="24"/>
            <w:szCs w:val="24"/>
          </w:rPr>
          <m:t>λ</m:t>
        </m:r>
      </m:oMath>
      <w:r w:rsidRPr="00EE1D63">
        <w:rPr>
          <w:rFonts w:asciiTheme="majorBidi" w:eastAsiaTheme="minorEastAsia" w:hAnsiTheme="majorBidi" w:cstheme="majorBidi"/>
          <w:bCs/>
          <w:sz w:val="24"/>
          <w:szCs w:val="24"/>
        </w:rPr>
        <w:t xml:space="preserve">=1600 should be chosen. Ravn and Uhlig (2002) proposed we choose </w:t>
      </w:r>
      <m:oMath>
        <m:r>
          <w:rPr>
            <w:rFonts w:ascii="Cambria Math" w:hAnsi="Cambria Math" w:cstheme="majorBidi"/>
            <w:sz w:val="24"/>
            <w:szCs w:val="24"/>
          </w:rPr>
          <m:t>λ=6.25</m:t>
        </m:r>
      </m:oMath>
      <w:r w:rsidRPr="00EE1D63">
        <w:rPr>
          <w:rFonts w:asciiTheme="majorBidi" w:eastAsiaTheme="minorEastAsia" w:hAnsiTheme="majorBidi" w:cstheme="majorBidi"/>
          <w:bCs/>
          <w:sz w:val="24"/>
          <w:szCs w:val="24"/>
        </w:rPr>
        <w:t xml:space="preserve"> and 129600 for annual and monthly data, respectively.</w:t>
      </w:r>
    </w:p>
    <w:p w:rsidR="00AF5F3A" w:rsidRPr="00EE1D63" w:rsidRDefault="00AF5F3A" w:rsidP="00EE1D63">
      <w:pPr>
        <w:spacing w:line="480" w:lineRule="auto"/>
        <w:jc w:val="both"/>
      </w:pPr>
    </w:p>
    <w:sectPr w:rsidR="00AF5F3A" w:rsidRPr="00EE1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A0" w:rsidRDefault="00F672A0" w:rsidP="00CC7315">
      <w:pPr>
        <w:spacing w:after="0" w:line="240" w:lineRule="auto"/>
      </w:pPr>
      <w:r>
        <w:separator/>
      </w:r>
    </w:p>
  </w:endnote>
  <w:endnote w:type="continuationSeparator" w:id="0">
    <w:p w:rsidR="00F672A0" w:rsidRDefault="00F672A0" w:rsidP="00CC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58062"/>
      <w:docPartObj>
        <w:docPartGallery w:val="Page Numbers (Bottom of Page)"/>
        <w:docPartUnique/>
      </w:docPartObj>
    </w:sdtPr>
    <w:sdtEndPr/>
    <w:sdtContent>
      <w:p w:rsidR="00CC7315" w:rsidRDefault="00CC7315" w:rsidP="0098631E">
        <w:pPr>
          <w:pStyle w:val="Footer"/>
          <w:jc w:val="right"/>
        </w:pPr>
        <w:r>
          <w:t xml:space="preserve">Page | </w:t>
        </w:r>
        <w:r>
          <w:fldChar w:fldCharType="begin"/>
        </w:r>
        <w:r>
          <w:instrText xml:space="preserve"> PAGE   \* MERGEFORMAT </w:instrText>
        </w:r>
        <w:r>
          <w:fldChar w:fldCharType="separate"/>
        </w:r>
        <w:r w:rsidR="005F0847">
          <w:rPr>
            <w:noProof/>
          </w:rPr>
          <w:t>2</w:t>
        </w:r>
        <w:r>
          <w:rPr>
            <w:noProof/>
          </w:rPr>
          <w:fldChar w:fldCharType="end"/>
        </w:r>
        <w:r>
          <w:t xml:space="preserve"> </w:t>
        </w:r>
      </w:p>
    </w:sdtContent>
  </w:sdt>
  <w:p w:rsidR="00CC7315" w:rsidRDefault="00CC7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A0" w:rsidRDefault="00F672A0" w:rsidP="00CC7315">
      <w:pPr>
        <w:spacing w:after="0" w:line="240" w:lineRule="auto"/>
      </w:pPr>
      <w:r>
        <w:separator/>
      </w:r>
    </w:p>
  </w:footnote>
  <w:footnote w:type="continuationSeparator" w:id="0">
    <w:p w:rsidR="00F672A0" w:rsidRDefault="00F672A0" w:rsidP="00CC7315">
      <w:pPr>
        <w:spacing w:after="0" w:line="240" w:lineRule="auto"/>
      </w:pPr>
      <w:r>
        <w:continuationSeparator/>
      </w:r>
    </w:p>
  </w:footnote>
  <w:footnote w:id="1">
    <w:p w:rsidR="00CC7315" w:rsidRDefault="00CC7315" w:rsidP="00CC7315">
      <w:pPr>
        <w:pStyle w:val="FootnoteText"/>
        <w:ind w:left="284" w:hanging="284"/>
        <w:jc w:val="both"/>
        <w:rPr>
          <w:lang w:val="en-US"/>
        </w:rPr>
      </w:pPr>
      <w:r>
        <w:rPr>
          <w:rStyle w:val="FootnoteReference"/>
        </w:rPr>
        <w:footnoteRef/>
      </w:r>
      <w:r>
        <w:rPr>
          <w:rFonts w:ascii="Times New Roman" w:hAnsi="Times New Roman"/>
        </w:rPr>
        <w:t xml:space="preserve">  </w:t>
      </w:r>
      <w:r w:rsidRPr="0093018A">
        <w:rPr>
          <w:rFonts w:asciiTheme="majorBidi" w:hAnsiTheme="majorBidi" w:cstheme="majorBidi"/>
          <w:lang w:val="en-US"/>
        </w:rPr>
        <w:t>Corresponding author: Bernard Njindan Iyke, Department of Economics, University of South</w:t>
      </w:r>
      <w:r w:rsidR="0093018A">
        <w:rPr>
          <w:rFonts w:asciiTheme="majorBidi" w:hAnsiTheme="majorBidi" w:cstheme="majorBidi"/>
          <w:lang w:val="en-US"/>
        </w:rPr>
        <w:t xml:space="preserve"> Africa (UNISA). Email address: </w:t>
      </w:r>
      <w:hyperlink r:id="rId1" w:history="1">
        <w:r w:rsidRPr="0093018A">
          <w:rPr>
            <w:rStyle w:val="Hyperlink"/>
            <w:rFonts w:asciiTheme="majorBidi" w:hAnsiTheme="majorBidi" w:cstheme="majorBidi"/>
          </w:rPr>
          <w:t>benitoflex@gmail.com</w:t>
        </w:r>
      </w:hyperlink>
      <w:r w:rsidR="0093018A">
        <w:rPr>
          <w:rFonts w:asciiTheme="majorBidi" w:hAnsiTheme="majorBidi" w:cstheme="majorBidi"/>
        </w:rPr>
        <w:t>/</w:t>
      </w:r>
      <w:hyperlink r:id="rId2" w:history="1">
        <w:r w:rsidRPr="0093018A">
          <w:rPr>
            <w:rStyle w:val="Hyperlink"/>
            <w:rFonts w:asciiTheme="majorBidi" w:hAnsiTheme="majorBidi" w:cstheme="majorBidi"/>
            <w:lang w:val="en-US"/>
          </w:rPr>
          <w:t>niykeb@unisa.ac.za</w:t>
        </w:r>
      </w:hyperlink>
    </w:p>
  </w:footnote>
  <w:footnote w:id="2">
    <w:p w:rsidR="00EE1D63" w:rsidRPr="006E4A4B" w:rsidRDefault="00EE1D63" w:rsidP="00EE1D63">
      <w:pPr>
        <w:pStyle w:val="FootnoteText"/>
        <w:jc w:val="both"/>
        <w:rPr>
          <w:rFonts w:asciiTheme="majorBidi" w:hAnsiTheme="majorBidi" w:cstheme="majorBidi"/>
        </w:rPr>
      </w:pPr>
      <w:r w:rsidRPr="00EE1D63">
        <w:rPr>
          <w:rStyle w:val="FootnoteReference"/>
          <w:rFonts w:asciiTheme="majorBidi" w:hAnsiTheme="majorBidi" w:cstheme="majorBidi"/>
        </w:rPr>
        <w:footnoteRef/>
      </w:r>
      <w:r w:rsidRPr="00EE1D63">
        <w:rPr>
          <w:rFonts w:asciiTheme="majorBidi" w:hAnsiTheme="majorBidi" w:cstheme="majorBidi"/>
        </w:rPr>
        <w:t xml:space="preserve"> </w:t>
      </w:r>
      <w:r w:rsidRPr="00EE1D63">
        <w:rPr>
          <w:rFonts w:asciiTheme="majorBidi" w:hAnsiTheme="majorBidi" w:cstheme="majorBidi"/>
          <w:bCs/>
          <w:lang w:val="en-ZA"/>
        </w:rPr>
        <w:t>This is the so-called Balassa-Samuelson-</w:t>
      </w:r>
      <w:proofErr w:type="spellStart"/>
      <w:r w:rsidRPr="00EE1D63">
        <w:rPr>
          <w:rFonts w:asciiTheme="majorBidi" w:hAnsiTheme="majorBidi" w:cstheme="majorBidi"/>
          <w:bCs/>
          <w:lang w:val="en-ZA"/>
        </w:rPr>
        <w:t>Bhagwati</w:t>
      </w:r>
      <w:proofErr w:type="spellEnd"/>
      <w:r w:rsidRPr="00EE1D63">
        <w:rPr>
          <w:rFonts w:asciiTheme="majorBidi" w:hAnsiTheme="majorBidi" w:cstheme="majorBidi"/>
          <w:bCs/>
          <w:lang w:val="en-ZA"/>
        </w:rPr>
        <w:t xml:space="preserve"> effect.</w:t>
      </w:r>
    </w:p>
  </w:footnote>
  <w:footnote w:id="3">
    <w:p w:rsidR="00EE1D63" w:rsidRPr="00195CE0" w:rsidRDefault="00EE1D63" w:rsidP="00EE1D63">
      <w:pPr>
        <w:pStyle w:val="FootnoteText"/>
        <w:jc w:val="both"/>
        <w:rPr>
          <w:rFonts w:asciiTheme="majorBidi" w:hAnsiTheme="majorBidi" w:cstheme="majorBidi"/>
          <w:color w:val="FF0000"/>
          <w:u w:val="single"/>
        </w:rPr>
      </w:pPr>
      <w:r w:rsidRPr="00EE1D63">
        <w:rPr>
          <w:rStyle w:val="FootnoteReference"/>
          <w:rFonts w:asciiTheme="majorBidi" w:hAnsiTheme="majorBidi" w:cstheme="majorBidi"/>
        </w:rPr>
        <w:footnoteRef/>
      </w:r>
      <w:r w:rsidRPr="00EE1D63">
        <w:rPr>
          <w:rFonts w:asciiTheme="majorBidi" w:hAnsiTheme="majorBidi" w:cstheme="majorBidi"/>
        </w:rPr>
        <w:t xml:space="preserve"> See Figure A.1 (in Appendix A) for the movements of the real effective exchange rate (REER) of Botswana and South Africa. This figure reveals that the REER of the two countries are closely associated.</w:t>
      </w:r>
    </w:p>
  </w:footnote>
  <w:footnote w:id="4">
    <w:p w:rsidR="00EE1D63" w:rsidRPr="00CD7DF6" w:rsidRDefault="00EE1D63" w:rsidP="00EE1D63">
      <w:pPr>
        <w:pStyle w:val="FootnoteText"/>
        <w:jc w:val="both"/>
        <w:rPr>
          <w:rFonts w:ascii="Times New Roman" w:hAnsi="Times New Roman"/>
        </w:rPr>
      </w:pPr>
      <w:r w:rsidRPr="003224E0">
        <w:rPr>
          <w:rStyle w:val="FootnoteReference"/>
          <w:rFonts w:asciiTheme="majorBidi" w:hAnsiTheme="majorBidi" w:cstheme="majorBidi"/>
        </w:rPr>
        <w:footnoteRef/>
      </w:r>
      <w:r w:rsidRPr="003224E0">
        <w:rPr>
          <w:rFonts w:asciiTheme="majorBidi" w:hAnsiTheme="majorBidi" w:cstheme="majorBidi"/>
        </w:rPr>
        <w:t xml:space="preserve"> </w:t>
      </w:r>
      <w:proofErr w:type="gramStart"/>
      <w:r w:rsidRPr="003224E0">
        <w:rPr>
          <w:rFonts w:asciiTheme="majorBidi" w:hAnsiTheme="majorBidi" w:cstheme="majorBidi"/>
        </w:rPr>
        <w:t>S</w:t>
      </w:r>
      <w:r w:rsidRPr="00CD7DF6">
        <w:rPr>
          <w:rFonts w:ascii="Times New Roman" w:hAnsi="Times New Roman"/>
        </w:rPr>
        <w:t xml:space="preserve">ee </w:t>
      </w:r>
      <w:proofErr w:type="spellStart"/>
      <w:r w:rsidRPr="00CD7DF6">
        <w:rPr>
          <w:rFonts w:ascii="Times New Roman" w:hAnsi="Times New Roman"/>
        </w:rPr>
        <w:t>Pesaran</w:t>
      </w:r>
      <w:proofErr w:type="spellEnd"/>
      <w:r w:rsidRPr="00CD7DF6">
        <w:rPr>
          <w:rFonts w:ascii="Times New Roman" w:hAnsi="Times New Roman"/>
        </w:rPr>
        <w:t xml:space="preserve"> </w:t>
      </w:r>
      <w:r w:rsidRPr="00CD7DF6">
        <w:rPr>
          <w:rFonts w:ascii="Times New Roman" w:hAnsi="Times New Roman"/>
          <w:i/>
        </w:rPr>
        <w:t>et al.</w:t>
      </w:r>
      <w:r w:rsidRPr="00CD7DF6">
        <w:rPr>
          <w:rFonts w:ascii="Times New Roman" w:hAnsi="Times New Roman"/>
        </w:rPr>
        <w:t xml:space="preserve"> (1996), </w:t>
      </w:r>
      <w:proofErr w:type="spellStart"/>
      <w:r w:rsidRPr="00CD7DF6">
        <w:rPr>
          <w:rFonts w:ascii="Times New Roman" w:hAnsi="Times New Roman"/>
        </w:rPr>
        <w:t>Pesaran</w:t>
      </w:r>
      <w:proofErr w:type="spellEnd"/>
      <w:r w:rsidRPr="00CD7DF6">
        <w:rPr>
          <w:rFonts w:ascii="Times New Roman" w:hAnsi="Times New Roman"/>
        </w:rPr>
        <w:t xml:space="preserve"> and Shin (1999), and </w:t>
      </w:r>
      <w:proofErr w:type="spellStart"/>
      <w:r w:rsidRPr="00CD7DF6">
        <w:rPr>
          <w:rFonts w:ascii="Times New Roman" w:hAnsi="Times New Roman"/>
        </w:rPr>
        <w:t>Pesaran</w:t>
      </w:r>
      <w:proofErr w:type="spellEnd"/>
      <w:r w:rsidRPr="00CD7DF6">
        <w:rPr>
          <w:rFonts w:ascii="Times New Roman" w:hAnsi="Times New Roman"/>
        </w:rPr>
        <w:t xml:space="preserve"> </w:t>
      </w:r>
      <w:r w:rsidRPr="00CD7DF6">
        <w:rPr>
          <w:rFonts w:ascii="Times New Roman" w:hAnsi="Times New Roman"/>
          <w:i/>
        </w:rPr>
        <w:t>et al.</w:t>
      </w:r>
      <w:r w:rsidRPr="00CD7DF6">
        <w:rPr>
          <w:rFonts w:ascii="Times New Roman" w:hAnsi="Times New Roman"/>
        </w:rPr>
        <w:t xml:space="preserve"> (2001)</w:t>
      </w:r>
      <w:r>
        <w:rPr>
          <w:rFonts w:ascii="Times New Roman" w:hAnsi="Times New Roman"/>
        </w:rPr>
        <w:t>,</w:t>
      </w:r>
      <w:r w:rsidRPr="00CD7DF6">
        <w:rPr>
          <w:rFonts w:ascii="Times New Roman" w:hAnsi="Times New Roman"/>
        </w:rPr>
        <w:t xml:space="preserve"> for extensive discussion.</w:t>
      </w:r>
      <w:proofErr w:type="gramEnd"/>
    </w:p>
    <w:p w:rsidR="00EE1D63" w:rsidRDefault="00EE1D63" w:rsidP="00EE1D63">
      <w:pPr>
        <w:pStyle w:val="FootnoteText"/>
      </w:pPr>
    </w:p>
  </w:footnote>
  <w:footnote w:id="5">
    <w:p w:rsidR="00EE1D63" w:rsidRPr="00EE1D63" w:rsidRDefault="00EE1D63" w:rsidP="00EE1D63">
      <w:pPr>
        <w:pStyle w:val="FootnoteText"/>
        <w:jc w:val="both"/>
        <w:rPr>
          <w:rFonts w:asciiTheme="majorBidi" w:hAnsiTheme="majorBidi" w:cstheme="majorBidi"/>
        </w:rPr>
      </w:pPr>
      <w:r w:rsidRPr="00EE1D63">
        <w:rPr>
          <w:rStyle w:val="FootnoteReference"/>
          <w:rFonts w:asciiTheme="majorBidi" w:hAnsiTheme="majorBidi" w:cstheme="majorBidi"/>
        </w:rPr>
        <w:footnoteRef/>
      </w:r>
      <w:r w:rsidRPr="00EE1D63">
        <w:rPr>
          <w:rFonts w:asciiTheme="majorBidi" w:hAnsiTheme="majorBidi" w:cstheme="majorBidi"/>
        </w:rPr>
        <w:t xml:space="preserve"> This is the</w:t>
      </w:r>
      <w:r w:rsidRPr="00EE1D63">
        <w:t xml:space="preserve"> </w:t>
      </w:r>
      <w:r w:rsidRPr="00EE1D63">
        <w:rPr>
          <w:rFonts w:asciiTheme="majorBidi" w:hAnsiTheme="majorBidi" w:cstheme="majorBidi"/>
        </w:rPr>
        <w:t>real effective exchange rate index (2005 = 100) calculated as the nominal effective exchange rate (a measure of the value of a currency against a weighted average of several foreign currencies) divided by a price deflator or index of costs (see WDI, 2014).</w:t>
      </w:r>
    </w:p>
  </w:footnote>
  <w:footnote w:id="6">
    <w:p w:rsidR="00EE1D63" w:rsidRPr="00EE1D63" w:rsidRDefault="00EE1D63" w:rsidP="00EE1D63">
      <w:pPr>
        <w:pStyle w:val="FootnoteText"/>
        <w:jc w:val="both"/>
        <w:rPr>
          <w:rFonts w:asciiTheme="majorBidi" w:hAnsiTheme="majorBidi" w:cstheme="majorBidi"/>
        </w:rPr>
      </w:pPr>
      <w:r w:rsidRPr="00EE1D63">
        <w:rPr>
          <w:rStyle w:val="FootnoteReference"/>
          <w:rFonts w:asciiTheme="majorBidi" w:hAnsiTheme="majorBidi" w:cstheme="majorBidi"/>
        </w:rPr>
        <w:footnoteRef/>
      </w:r>
      <w:r w:rsidRPr="00EE1D63">
        <w:rPr>
          <w:rFonts w:asciiTheme="majorBidi" w:hAnsiTheme="majorBidi" w:cstheme="majorBidi"/>
        </w:rPr>
        <w:t xml:space="preserve"> This ratio is measured as the sum of exports and imports of goods and services to GDP (in 2005 constant US$). Note that, here, we are referring to the trade openness of Botswana.</w:t>
      </w:r>
    </w:p>
  </w:footnote>
  <w:footnote w:id="7">
    <w:p w:rsidR="00EE1D63" w:rsidRPr="00EE1D63" w:rsidRDefault="00EE1D63" w:rsidP="00EE1D63">
      <w:pPr>
        <w:pStyle w:val="FootnoteText"/>
        <w:spacing w:line="360" w:lineRule="auto"/>
        <w:jc w:val="both"/>
        <w:rPr>
          <w:rFonts w:asciiTheme="majorBidi" w:hAnsiTheme="majorBidi" w:cstheme="majorBidi"/>
        </w:rPr>
      </w:pPr>
      <w:r w:rsidRPr="00EE1D63">
        <w:rPr>
          <w:rStyle w:val="FootnoteReference"/>
          <w:rFonts w:asciiTheme="majorBidi" w:hAnsiTheme="majorBidi" w:cstheme="majorBidi"/>
        </w:rPr>
        <w:footnoteRef/>
      </w:r>
      <w:r w:rsidRPr="00EE1D63">
        <w:rPr>
          <w:rFonts w:asciiTheme="majorBidi" w:hAnsiTheme="majorBidi" w:cstheme="majorBidi"/>
        </w:rPr>
        <w:t xml:space="preserve"> This ratio is measured as imports divided by exports of goods and services (see Obstfeld and Rogoff, 1996). </w:t>
      </w:r>
    </w:p>
  </w:footnote>
  <w:footnote w:id="8">
    <w:p w:rsidR="00EE1D63" w:rsidRPr="00276832" w:rsidRDefault="00EE1D63" w:rsidP="00EE1D63">
      <w:pPr>
        <w:pStyle w:val="FootnoteText"/>
        <w:jc w:val="both"/>
        <w:rPr>
          <w:rFonts w:asciiTheme="majorBidi" w:hAnsiTheme="majorBidi" w:cstheme="majorBidi"/>
          <w:color w:val="FF0000"/>
        </w:rPr>
      </w:pPr>
      <w:r w:rsidRPr="00EE1D63">
        <w:rPr>
          <w:rStyle w:val="FootnoteReference"/>
          <w:rFonts w:asciiTheme="majorBidi" w:hAnsiTheme="majorBidi" w:cstheme="majorBidi"/>
        </w:rPr>
        <w:footnoteRef/>
      </w:r>
      <w:r w:rsidRPr="00EE1D63">
        <w:rPr>
          <w:rFonts w:asciiTheme="majorBidi" w:hAnsiTheme="majorBidi" w:cstheme="majorBidi"/>
        </w:rPr>
        <w:t xml:space="preserve"> We calculated this index by utilizing the weighted averages of the price of diamonds, copper, nickel, soda ash, meat (beef), textiles, and sugar. These are the major exports of Botswana, according to the Central Statistics Office of Botswana. The weights for calculating the index for each year are based on the 10-year average proportion of the above commodities in exports. </w:t>
      </w:r>
    </w:p>
    <w:p w:rsidR="00EE1D63" w:rsidRDefault="00EE1D63" w:rsidP="00EE1D63">
      <w:pPr>
        <w:pStyle w:val="FootnoteText"/>
      </w:pPr>
    </w:p>
  </w:footnote>
  <w:footnote w:id="9">
    <w:p w:rsidR="00EE1D63" w:rsidRPr="00CC5687" w:rsidRDefault="00EE1D63" w:rsidP="00EE1D63">
      <w:pPr>
        <w:pStyle w:val="FootnoteText"/>
        <w:spacing w:line="360" w:lineRule="auto"/>
        <w:jc w:val="both"/>
        <w:rPr>
          <w:rFonts w:asciiTheme="majorBidi" w:hAnsiTheme="majorBidi" w:cstheme="majorBidi"/>
        </w:rPr>
      </w:pPr>
      <w:r w:rsidRPr="00CC5687">
        <w:rPr>
          <w:rStyle w:val="FootnoteReference"/>
          <w:rFonts w:asciiTheme="majorBidi" w:hAnsiTheme="majorBidi" w:cstheme="majorBidi"/>
        </w:rPr>
        <w:footnoteRef/>
      </w:r>
      <w:r>
        <w:rPr>
          <w:rFonts w:asciiTheme="majorBidi" w:hAnsiTheme="majorBidi" w:cstheme="majorBidi"/>
        </w:rPr>
        <w:t xml:space="preserve"> See Appendix </w:t>
      </w:r>
      <w:proofErr w:type="gramStart"/>
      <w:r>
        <w:rPr>
          <w:rFonts w:asciiTheme="majorBidi" w:hAnsiTheme="majorBidi" w:cstheme="majorBidi"/>
        </w:rPr>
        <w:t>A</w:t>
      </w:r>
      <w:proofErr w:type="gramEnd"/>
      <w:r>
        <w:rPr>
          <w:rFonts w:asciiTheme="majorBidi" w:hAnsiTheme="majorBidi" w:cstheme="majorBidi"/>
        </w:rPr>
        <w:t>, Figure A.2</w:t>
      </w:r>
      <w:r w:rsidRPr="00CC5687">
        <w:rPr>
          <w:rFonts w:asciiTheme="majorBidi" w:hAnsiTheme="majorBidi" w:cstheme="majorBidi"/>
        </w:rPr>
        <w:t xml:space="preserve"> for the graphs. </w:t>
      </w:r>
    </w:p>
  </w:footnote>
  <w:footnote w:id="10">
    <w:p w:rsidR="00EE1D63" w:rsidRPr="00385C1D" w:rsidRDefault="00EE1D63" w:rsidP="00EE1D63">
      <w:pPr>
        <w:pStyle w:val="FootnoteText"/>
        <w:jc w:val="both"/>
        <w:rPr>
          <w:rFonts w:asciiTheme="majorBidi" w:hAnsiTheme="majorBidi" w:cstheme="majorBidi"/>
        </w:rPr>
      </w:pPr>
      <w:r w:rsidRPr="00385C1D">
        <w:rPr>
          <w:rStyle w:val="FootnoteReference"/>
          <w:rFonts w:asciiTheme="majorBidi" w:hAnsiTheme="majorBidi" w:cstheme="majorBidi"/>
        </w:rPr>
        <w:footnoteRef/>
      </w:r>
      <w:r w:rsidRPr="00385C1D">
        <w:rPr>
          <w:rFonts w:asciiTheme="majorBidi" w:hAnsiTheme="majorBidi" w:cstheme="majorBidi"/>
        </w:rPr>
        <w:t xml:space="preserve"> The F-statistic in this case is 5.610, which can be rejected at 5% level. Hence, the remaining variables are cointegrated. See the asymptotic critical values of unrestricted intercept and no trend (with 2 regressors) in Table </w:t>
      </w:r>
      <w:proofErr w:type="gramStart"/>
      <w:r w:rsidRPr="00385C1D">
        <w:rPr>
          <w:rFonts w:asciiTheme="majorBidi" w:hAnsiTheme="majorBidi" w:cstheme="majorBidi"/>
        </w:rPr>
        <w:t>CI(</w:t>
      </w:r>
      <w:proofErr w:type="gramEnd"/>
      <w:r w:rsidRPr="00385C1D">
        <w:rPr>
          <w:rFonts w:asciiTheme="majorBidi" w:hAnsiTheme="majorBidi" w:cstheme="majorBidi"/>
        </w:rPr>
        <w:t xml:space="preserve">iii) p. 300 of </w:t>
      </w:r>
      <w:proofErr w:type="spellStart"/>
      <w:r w:rsidRPr="00385C1D">
        <w:rPr>
          <w:rFonts w:asciiTheme="majorBidi" w:hAnsiTheme="majorBidi" w:cstheme="majorBidi"/>
        </w:rPr>
        <w:t>Pesaran</w:t>
      </w:r>
      <w:proofErr w:type="spellEnd"/>
      <w:r w:rsidRPr="00385C1D">
        <w:rPr>
          <w:rFonts w:asciiTheme="majorBidi" w:hAnsiTheme="majorBidi" w:cstheme="majorBidi"/>
        </w:rPr>
        <w:t xml:space="preserve"> </w:t>
      </w:r>
      <w:r w:rsidRPr="00385C1D">
        <w:rPr>
          <w:rFonts w:asciiTheme="majorBidi" w:hAnsiTheme="majorBidi" w:cstheme="majorBidi"/>
          <w:i/>
          <w:iCs/>
        </w:rPr>
        <w:t>et al.</w:t>
      </w:r>
      <w:r w:rsidRPr="00385C1D">
        <w:rPr>
          <w:rFonts w:asciiTheme="majorBidi" w:hAnsiTheme="majorBidi" w:cstheme="majorBidi"/>
        </w:rPr>
        <w:t xml:space="preserve"> (2001).</w:t>
      </w:r>
    </w:p>
  </w:footnote>
  <w:footnote w:id="11">
    <w:p w:rsidR="00EE1D63" w:rsidRPr="00385C1D" w:rsidRDefault="00EE1D63" w:rsidP="00EE1D63">
      <w:pPr>
        <w:pStyle w:val="FootnoteText"/>
        <w:jc w:val="both"/>
        <w:rPr>
          <w:rFonts w:asciiTheme="majorBidi" w:hAnsiTheme="majorBidi" w:cstheme="majorBidi"/>
        </w:rPr>
      </w:pPr>
      <w:r w:rsidRPr="00385C1D">
        <w:rPr>
          <w:rStyle w:val="FootnoteReference"/>
          <w:rFonts w:asciiTheme="majorBidi" w:hAnsiTheme="majorBidi" w:cstheme="majorBidi"/>
        </w:rPr>
        <w:footnoteRef/>
      </w:r>
      <w:r w:rsidRPr="00385C1D">
        <w:rPr>
          <w:rFonts w:asciiTheme="majorBidi" w:hAnsiTheme="majorBidi" w:cstheme="majorBidi"/>
        </w:rPr>
        <w:t xml:space="preserve"> The t-statistics are shown in the block parenthesis; *, and *** denote the 10% and the 1% significance levels, respectively. </w:t>
      </w:r>
    </w:p>
  </w:footnote>
  <w:footnote w:id="12">
    <w:p w:rsidR="00EE1D63" w:rsidRPr="003169F8" w:rsidRDefault="00EE1D63" w:rsidP="00EE1D63">
      <w:pPr>
        <w:pStyle w:val="FootnoteText"/>
        <w:spacing w:line="360" w:lineRule="auto"/>
        <w:jc w:val="both"/>
        <w:rPr>
          <w:rFonts w:asciiTheme="majorBidi" w:hAnsiTheme="majorBidi" w:cstheme="majorBidi"/>
        </w:rPr>
      </w:pPr>
      <w:r w:rsidRPr="003169F8">
        <w:rPr>
          <w:rStyle w:val="FootnoteReference"/>
          <w:rFonts w:asciiTheme="majorBidi" w:hAnsiTheme="majorBidi" w:cstheme="majorBidi"/>
        </w:rPr>
        <w:footnoteRef/>
      </w:r>
      <w:r w:rsidRPr="003169F8">
        <w:rPr>
          <w:rFonts w:asciiTheme="majorBidi" w:hAnsiTheme="majorBidi" w:cstheme="majorBidi"/>
        </w:rPr>
        <w:t xml:space="preserve"> Lee </w:t>
      </w:r>
      <w:r w:rsidRPr="00B75113">
        <w:rPr>
          <w:rFonts w:asciiTheme="majorBidi" w:hAnsiTheme="majorBidi" w:cstheme="majorBidi"/>
          <w:i/>
          <w:iCs/>
        </w:rPr>
        <w:t>et al.</w:t>
      </w:r>
      <w:r w:rsidRPr="003169F8">
        <w:rPr>
          <w:rFonts w:asciiTheme="majorBidi" w:hAnsiTheme="majorBidi" w:cstheme="majorBidi"/>
        </w:rPr>
        <w:t xml:space="preserve"> (2008), and Imam and Minoiu (2011) found similar results in their studies. However, </w:t>
      </w:r>
      <w:proofErr w:type="spellStart"/>
      <w:r w:rsidRPr="003169F8">
        <w:rPr>
          <w:rFonts w:asciiTheme="majorBidi" w:hAnsiTheme="majorBidi" w:cstheme="majorBidi"/>
        </w:rPr>
        <w:t>Montiel</w:t>
      </w:r>
      <w:proofErr w:type="spellEnd"/>
      <w:r w:rsidRPr="003169F8">
        <w:rPr>
          <w:rFonts w:asciiTheme="majorBidi" w:hAnsiTheme="majorBidi" w:cstheme="majorBidi"/>
        </w:rPr>
        <w:t xml:space="preserve"> (1997), and MacDonald and Ricci (2003) found trade openness to have a positive influence on the equilibrium real effective exchange rate in the long run.</w:t>
      </w:r>
    </w:p>
  </w:footnote>
  <w:footnote w:id="13">
    <w:p w:rsidR="00EE1D63" w:rsidRPr="003169F8" w:rsidRDefault="00EE1D63" w:rsidP="00EE1D63">
      <w:pPr>
        <w:pStyle w:val="FootnoteText"/>
        <w:spacing w:line="360" w:lineRule="auto"/>
        <w:jc w:val="both"/>
        <w:rPr>
          <w:rFonts w:asciiTheme="majorBidi" w:hAnsiTheme="majorBidi" w:cstheme="majorBidi"/>
        </w:rPr>
      </w:pPr>
      <w:r w:rsidRPr="003169F8">
        <w:rPr>
          <w:rStyle w:val="FootnoteReference"/>
          <w:rFonts w:asciiTheme="majorBidi" w:hAnsiTheme="majorBidi" w:cstheme="majorBidi"/>
        </w:rPr>
        <w:footnoteRef/>
      </w:r>
      <w:r w:rsidRPr="003169F8">
        <w:rPr>
          <w:rFonts w:asciiTheme="majorBidi" w:hAnsiTheme="majorBidi" w:cstheme="majorBidi"/>
        </w:rPr>
        <w:t xml:space="preserve"> </w:t>
      </w:r>
      <w:proofErr w:type="spellStart"/>
      <w:r w:rsidRPr="003169F8">
        <w:rPr>
          <w:rFonts w:asciiTheme="majorBidi" w:hAnsiTheme="majorBidi" w:cstheme="majorBidi"/>
        </w:rPr>
        <w:t>Montiel</w:t>
      </w:r>
      <w:proofErr w:type="spellEnd"/>
      <w:r w:rsidRPr="003169F8">
        <w:rPr>
          <w:rFonts w:asciiTheme="majorBidi" w:hAnsiTheme="majorBidi" w:cstheme="majorBidi"/>
        </w:rPr>
        <w:t xml:space="preserve"> (1997), Lee </w:t>
      </w:r>
      <w:r w:rsidRPr="00681741">
        <w:rPr>
          <w:rFonts w:asciiTheme="majorBidi" w:hAnsiTheme="majorBidi" w:cstheme="majorBidi"/>
          <w:i/>
          <w:iCs/>
        </w:rPr>
        <w:t>et al.</w:t>
      </w:r>
      <w:r w:rsidRPr="003169F8">
        <w:rPr>
          <w:rFonts w:asciiTheme="majorBidi" w:hAnsiTheme="majorBidi" w:cstheme="majorBidi"/>
        </w:rPr>
        <w:t xml:space="preserve"> (2008), and Imam and Minoiu (2011) all found terms of trade to exert a positive influence on real exchange rate.</w:t>
      </w:r>
    </w:p>
  </w:footnote>
  <w:footnote w:id="14">
    <w:p w:rsidR="00EE1D63" w:rsidRPr="00770AC8" w:rsidRDefault="00EE1D63" w:rsidP="00EE1D63">
      <w:pPr>
        <w:pStyle w:val="FootnoteText"/>
        <w:jc w:val="both"/>
        <w:rPr>
          <w:rFonts w:asciiTheme="majorBidi" w:hAnsiTheme="majorBidi" w:cstheme="majorBidi"/>
        </w:rPr>
      </w:pPr>
      <w:r w:rsidRPr="00770AC8">
        <w:rPr>
          <w:rStyle w:val="FootnoteReference"/>
          <w:rFonts w:asciiTheme="majorBidi" w:hAnsiTheme="majorBidi" w:cstheme="majorBidi"/>
        </w:rPr>
        <w:footnoteRef/>
      </w:r>
      <w:r w:rsidRPr="00770AC8">
        <w:rPr>
          <w:rFonts w:asciiTheme="majorBidi" w:hAnsiTheme="majorBidi" w:cstheme="majorBidi"/>
        </w:rPr>
        <w:t xml:space="preserve"> See Appendix B for notes on the </w:t>
      </w:r>
      <w:proofErr w:type="spellStart"/>
      <w:r w:rsidRPr="00770AC8">
        <w:rPr>
          <w:rFonts w:asciiTheme="majorBidi" w:hAnsiTheme="majorBidi" w:cstheme="majorBidi"/>
        </w:rPr>
        <w:t>Hodrick</w:t>
      </w:r>
      <w:proofErr w:type="spellEnd"/>
      <w:r w:rsidRPr="00770AC8">
        <w:rPr>
          <w:rFonts w:asciiTheme="majorBidi" w:hAnsiTheme="majorBidi" w:cstheme="majorBidi"/>
        </w:rPr>
        <w:t xml:space="preserve">-Prescott filter which was advanced by </w:t>
      </w:r>
      <w:proofErr w:type="spellStart"/>
      <w:r w:rsidRPr="00770AC8">
        <w:rPr>
          <w:rFonts w:asciiTheme="majorBidi" w:hAnsiTheme="majorBidi" w:cstheme="majorBidi"/>
        </w:rPr>
        <w:t>Hodrick</w:t>
      </w:r>
      <w:proofErr w:type="spellEnd"/>
      <w:r w:rsidRPr="00770AC8">
        <w:rPr>
          <w:rFonts w:asciiTheme="majorBidi" w:hAnsiTheme="majorBidi" w:cstheme="majorBidi"/>
        </w:rPr>
        <w:t xml:space="preserve"> and Prescott (1997).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634D"/>
    <w:multiLevelType w:val="hybridMultilevel"/>
    <w:tmpl w:val="7C7654B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3EE3B0A"/>
    <w:multiLevelType w:val="hybridMultilevel"/>
    <w:tmpl w:val="0DEA32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18"/>
    <w:rsid w:val="0004170F"/>
    <w:rsid w:val="001332BA"/>
    <w:rsid w:val="00182670"/>
    <w:rsid w:val="00195769"/>
    <w:rsid w:val="001973EF"/>
    <w:rsid w:val="002A5973"/>
    <w:rsid w:val="002D2717"/>
    <w:rsid w:val="003505D3"/>
    <w:rsid w:val="00385C1D"/>
    <w:rsid w:val="003917A7"/>
    <w:rsid w:val="003A266A"/>
    <w:rsid w:val="00463978"/>
    <w:rsid w:val="00516FF2"/>
    <w:rsid w:val="00540255"/>
    <w:rsid w:val="00543971"/>
    <w:rsid w:val="005A7918"/>
    <w:rsid w:val="005B4183"/>
    <w:rsid w:val="005F0847"/>
    <w:rsid w:val="00653797"/>
    <w:rsid w:val="006B1AA1"/>
    <w:rsid w:val="00756A7A"/>
    <w:rsid w:val="00804947"/>
    <w:rsid w:val="0089783F"/>
    <w:rsid w:val="0093018A"/>
    <w:rsid w:val="00950C9A"/>
    <w:rsid w:val="009A5DE8"/>
    <w:rsid w:val="00A47678"/>
    <w:rsid w:val="00A72B4F"/>
    <w:rsid w:val="00A941D8"/>
    <w:rsid w:val="00AF5F3A"/>
    <w:rsid w:val="00B21120"/>
    <w:rsid w:val="00C05E58"/>
    <w:rsid w:val="00CC7315"/>
    <w:rsid w:val="00CF2486"/>
    <w:rsid w:val="00CF5CC3"/>
    <w:rsid w:val="00D0682E"/>
    <w:rsid w:val="00D556B2"/>
    <w:rsid w:val="00D876BB"/>
    <w:rsid w:val="00E348B9"/>
    <w:rsid w:val="00EE1D63"/>
    <w:rsid w:val="00F316DD"/>
    <w:rsid w:val="00F37784"/>
    <w:rsid w:val="00F672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15"/>
    <w:rPr>
      <w:rFonts w:ascii="Calibri" w:eastAsia="Calibri" w:hAnsi="Calibri" w:cs="Times New Roman"/>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C7315"/>
    <w:rPr>
      <w:rFonts w:ascii="Times New Roman" w:hAnsi="Times New Roman" w:cs="Times New Roman"/>
      <w:color w:val="0000FF"/>
      <w:u w:val="single"/>
    </w:rPr>
  </w:style>
  <w:style w:type="paragraph" w:styleId="FootnoteText">
    <w:name w:val="footnote text"/>
    <w:basedOn w:val="Normal"/>
    <w:link w:val="FootnoteTextChar"/>
    <w:uiPriority w:val="99"/>
    <w:semiHidden/>
    <w:rsid w:val="00CC7315"/>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CC7315"/>
    <w:rPr>
      <w:rFonts w:ascii="Calibri" w:eastAsia="Times New Roman" w:hAnsi="Calibri" w:cs="Times New Roman"/>
      <w:sz w:val="20"/>
      <w:szCs w:val="20"/>
      <w:lang w:val="en-GB" w:eastAsia="en-GB" w:bidi="ar-SA"/>
    </w:rPr>
  </w:style>
  <w:style w:type="character" w:styleId="FootnoteReference">
    <w:name w:val="footnote reference"/>
    <w:semiHidden/>
    <w:rsid w:val="00CC7315"/>
    <w:rPr>
      <w:rFonts w:ascii="Times New Roman" w:hAnsi="Times New Roman" w:cs="Times New Roman"/>
      <w:vertAlign w:val="superscript"/>
    </w:rPr>
  </w:style>
  <w:style w:type="paragraph" w:styleId="Footer">
    <w:name w:val="footer"/>
    <w:basedOn w:val="Normal"/>
    <w:link w:val="FooterChar"/>
    <w:uiPriority w:val="99"/>
    <w:rsid w:val="00CC7315"/>
    <w:pPr>
      <w:tabs>
        <w:tab w:val="center" w:pos="4513"/>
        <w:tab w:val="right" w:pos="9026"/>
      </w:tabs>
    </w:pPr>
    <w:rPr>
      <w:lang w:eastAsia="en-GB"/>
    </w:rPr>
  </w:style>
  <w:style w:type="character" w:customStyle="1" w:styleId="FooterChar">
    <w:name w:val="Footer Char"/>
    <w:basedOn w:val="DefaultParagraphFont"/>
    <w:link w:val="Footer"/>
    <w:uiPriority w:val="99"/>
    <w:rsid w:val="00CC7315"/>
    <w:rPr>
      <w:rFonts w:ascii="Calibri" w:eastAsia="Calibri" w:hAnsi="Calibri" w:cs="Times New Roman"/>
      <w:lang w:val="en-GB" w:eastAsia="en-GB" w:bidi="ar-SA"/>
    </w:rPr>
  </w:style>
  <w:style w:type="table" w:customStyle="1" w:styleId="TableGrid12">
    <w:name w:val="Table Grid12"/>
    <w:basedOn w:val="TableNormal"/>
    <w:next w:val="TableGrid"/>
    <w:uiPriority w:val="59"/>
    <w:rsid w:val="00CC7315"/>
    <w:pPr>
      <w:spacing w:after="0" w:line="240" w:lineRule="auto"/>
    </w:pPr>
    <w:rPr>
      <w:rFonts w:ascii="Calibri" w:eastAsia="Calibri" w:hAnsi="Calibri"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CC7315"/>
    <w:pPr>
      <w:spacing w:after="0" w:line="240" w:lineRule="auto"/>
    </w:pPr>
    <w:rPr>
      <w:rFonts w:ascii="Calibri" w:eastAsia="Calibri" w:hAnsi="Calibri" w:cs="Times New Roman"/>
      <w:lang w:val="en-ZA" w:eastAsia="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C7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F5F3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F5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3A"/>
    <w:rPr>
      <w:rFonts w:ascii="Tahoma" w:eastAsia="Calibri" w:hAnsi="Tahoma" w:cs="Tahoma"/>
      <w:sz w:val="16"/>
      <w:szCs w:val="16"/>
      <w:lang w:val="en-GB" w:bidi="ar-SA"/>
    </w:rPr>
  </w:style>
  <w:style w:type="character" w:styleId="PlaceholderText">
    <w:name w:val="Placeholder Text"/>
    <w:basedOn w:val="DefaultParagraphFont"/>
    <w:uiPriority w:val="99"/>
    <w:semiHidden/>
    <w:rsid w:val="00EE1D63"/>
    <w:rPr>
      <w:color w:val="808080"/>
    </w:rPr>
  </w:style>
  <w:style w:type="paragraph" w:styleId="Header">
    <w:name w:val="header"/>
    <w:basedOn w:val="Normal"/>
    <w:link w:val="HeaderChar"/>
    <w:uiPriority w:val="99"/>
    <w:unhideWhenUsed/>
    <w:rsid w:val="00EE1D63"/>
    <w:pPr>
      <w:tabs>
        <w:tab w:val="center" w:pos="4513"/>
        <w:tab w:val="right" w:pos="9026"/>
      </w:tabs>
      <w:spacing w:after="0" w:line="240" w:lineRule="auto"/>
    </w:pPr>
    <w:rPr>
      <w:rFonts w:asciiTheme="minorHAnsi" w:eastAsiaTheme="minorHAnsi" w:hAnsiTheme="minorHAnsi" w:cstheme="minorBidi"/>
      <w:lang w:val="en-US" w:bidi="he-IL"/>
    </w:rPr>
  </w:style>
  <w:style w:type="character" w:customStyle="1" w:styleId="HeaderChar">
    <w:name w:val="Header Char"/>
    <w:basedOn w:val="DefaultParagraphFont"/>
    <w:link w:val="Header"/>
    <w:uiPriority w:val="99"/>
    <w:rsid w:val="00EE1D63"/>
  </w:style>
  <w:style w:type="paragraph" w:styleId="ListParagraph">
    <w:name w:val="List Paragraph"/>
    <w:basedOn w:val="Normal"/>
    <w:uiPriority w:val="34"/>
    <w:qFormat/>
    <w:rsid w:val="00EE1D63"/>
    <w:pPr>
      <w:ind w:left="720"/>
      <w:contextualSpacing/>
    </w:pPr>
    <w:rPr>
      <w:rFonts w:asciiTheme="minorHAnsi" w:eastAsiaTheme="minorHAnsi" w:hAnsiTheme="minorHAnsi" w:cstheme="minorBidi"/>
      <w:lang w:val="en-US" w:bidi="he-IL"/>
    </w:rPr>
  </w:style>
  <w:style w:type="character" w:styleId="CommentReference">
    <w:name w:val="annotation reference"/>
    <w:basedOn w:val="DefaultParagraphFont"/>
    <w:uiPriority w:val="99"/>
    <w:semiHidden/>
    <w:unhideWhenUsed/>
    <w:rsid w:val="00EE1D63"/>
    <w:rPr>
      <w:sz w:val="16"/>
      <w:szCs w:val="16"/>
    </w:rPr>
  </w:style>
  <w:style w:type="paragraph" w:styleId="CommentText">
    <w:name w:val="annotation text"/>
    <w:basedOn w:val="Normal"/>
    <w:link w:val="CommentTextChar"/>
    <w:uiPriority w:val="99"/>
    <w:semiHidden/>
    <w:unhideWhenUsed/>
    <w:rsid w:val="00EE1D63"/>
    <w:pPr>
      <w:spacing w:line="240" w:lineRule="auto"/>
    </w:pPr>
    <w:rPr>
      <w:rFonts w:asciiTheme="minorHAnsi" w:eastAsiaTheme="minorHAnsi" w:hAnsiTheme="minorHAnsi" w:cstheme="minorBidi"/>
      <w:sz w:val="20"/>
      <w:szCs w:val="20"/>
      <w:lang w:val="en-US" w:bidi="he-IL"/>
    </w:rPr>
  </w:style>
  <w:style w:type="character" w:customStyle="1" w:styleId="CommentTextChar">
    <w:name w:val="Comment Text Char"/>
    <w:basedOn w:val="DefaultParagraphFont"/>
    <w:link w:val="CommentText"/>
    <w:uiPriority w:val="99"/>
    <w:semiHidden/>
    <w:rsid w:val="00EE1D63"/>
    <w:rPr>
      <w:sz w:val="20"/>
      <w:szCs w:val="20"/>
    </w:rPr>
  </w:style>
  <w:style w:type="paragraph" w:styleId="CommentSubject">
    <w:name w:val="annotation subject"/>
    <w:basedOn w:val="CommentText"/>
    <w:next w:val="CommentText"/>
    <w:link w:val="CommentSubjectChar"/>
    <w:uiPriority w:val="99"/>
    <w:semiHidden/>
    <w:unhideWhenUsed/>
    <w:rsid w:val="00EE1D63"/>
    <w:rPr>
      <w:b/>
      <w:bCs/>
    </w:rPr>
  </w:style>
  <w:style w:type="character" w:customStyle="1" w:styleId="CommentSubjectChar">
    <w:name w:val="Comment Subject Char"/>
    <w:basedOn w:val="CommentTextChar"/>
    <w:link w:val="CommentSubject"/>
    <w:uiPriority w:val="99"/>
    <w:semiHidden/>
    <w:rsid w:val="00EE1D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15"/>
    <w:rPr>
      <w:rFonts w:ascii="Calibri" w:eastAsia="Calibri" w:hAnsi="Calibri" w:cs="Times New Roman"/>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C7315"/>
    <w:rPr>
      <w:rFonts w:ascii="Times New Roman" w:hAnsi="Times New Roman" w:cs="Times New Roman"/>
      <w:color w:val="0000FF"/>
      <w:u w:val="single"/>
    </w:rPr>
  </w:style>
  <w:style w:type="paragraph" w:styleId="FootnoteText">
    <w:name w:val="footnote text"/>
    <w:basedOn w:val="Normal"/>
    <w:link w:val="FootnoteTextChar"/>
    <w:uiPriority w:val="99"/>
    <w:semiHidden/>
    <w:rsid w:val="00CC7315"/>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CC7315"/>
    <w:rPr>
      <w:rFonts w:ascii="Calibri" w:eastAsia="Times New Roman" w:hAnsi="Calibri" w:cs="Times New Roman"/>
      <w:sz w:val="20"/>
      <w:szCs w:val="20"/>
      <w:lang w:val="en-GB" w:eastAsia="en-GB" w:bidi="ar-SA"/>
    </w:rPr>
  </w:style>
  <w:style w:type="character" w:styleId="FootnoteReference">
    <w:name w:val="footnote reference"/>
    <w:semiHidden/>
    <w:rsid w:val="00CC7315"/>
    <w:rPr>
      <w:rFonts w:ascii="Times New Roman" w:hAnsi="Times New Roman" w:cs="Times New Roman"/>
      <w:vertAlign w:val="superscript"/>
    </w:rPr>
  </w:style>
  <w:style w:type="paragraph" w:styleId="Footer">
    <w:name w:val="footer"/>
    <w:basedOn w:val="Normal"/>
    <w:link w:val="FooterChar"/>
    <w:uiPriority w:val="99"/>
    <w:rsid w:val="00CC7315"/>
    <w:pPr>
      <w:tabs>
        <w:tab w:val="center" w:pos="4513"/>
        <w:tab w:val="right" w:pos="9026"/>
      </w:tabs>
    </w:pPr>
    <w:rPr>
      <w:lang w:eastAsia="en-GB"/>
    </w:rPr>
  </w:style>
  <w:style w:type="character" w:customStyle="1" w:styleId="FooterChar">
    <w:name w:val="Footer Char"/>
    <w:basedOn w:val="DefaultParagraphFont"/>
    <w:link w:val="Footer"/>
    <w:uiPriority w:val="99"/>
    <w:rsid w:val="00CC7315"/>
    <w:rPr>
      <w:rFonts w:ascii="Calibri" w:eastAsia="Calibri" w:hAnsi="Calibri" w:cs="Times New Roman"/>
      <w:lang w:val="en-GB" w:eastAsia="en-GB" w:bidi="ar-SA"/>
    </w:rPr>
  </w:style>
  <w:style w:type="table" w:customStyle="1" w:styleId="TableGrid12">
    <w:name w:val="Table Grid12"/>
    <w:basedOn w:val="TableNormal"/>
    <w:next w:val="TableGrid"/>
    <w:uiPriority w:val="59"/>
    <w:rsid w:val="00CC7315"/>
    <w:pPr>
      <w:spacing w:after="0" w:line="240" w:lineRule="auto"/>
    </w:pPr>
    <w:rPr>
      <w:rFonts w:ascii="Calibri" w:eastAsia="Calibri" w:hAnsi="Calibri"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CC7315"/>
    <w:pPr>
      <w:spacing w:after="0" w:line="240" w:lineRule="auto"/>
    </w:pPr>
    <w:rPr>
      <w:rFonts w:ascii="Calibri" w:eastAsia="Calibri" w:hAnsi="Calibri" w:cs="Times New Roman"/>
      <w:lang w:val="en-ZA" w:eastAsia="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C7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F5F3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F5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3A"/>
    <w:rPr>
      <w:rFonts w:ascii="Tahoma" w:eastAsia="Calibri" w:hAnsi="Tahoma" w:cs="Tahoma"/>
      <w:sz w:val="16"/>
      <w:szCs w:val="16"/>
      <w:lang w:val="en-GB" w:bidi="ar-SA"/>
    </w:rPr>
  </w:style>
  <w:style w:type="character" w:styleId="PlaceholderText">
    <w:name w:val="Placeholder Text"/>
    <w:basedOn w:val="DefaultParagraphFont"/>
    <w:uiPriority w:val="99"/>
    <w:semiHidden/>
    <w:rsid w:val="00EE1D63"/>
    <w:rPr>
      <w:color w:val="808080"/>
    </w:rPr>
  </w:style>
  <w:style w:type="paragraph" w:styleId="Header">
    <w:name w:val="header"/>
    <w:basedOn w:val="Normal"/>
    <w:link w:val="HeaderChar"/>
    <w:uiPriority w:val="99"/>
    <w:unhideWhenUsed/>
    <w:rsid w:val="00EE1D63"/>
    <w:pPr>
      <w:tabs>
        <w:tab w:val="center" w:pos="4513"/>
        <w:tab w:val="right" w:pos="9026"/>
      </w:tabs>
      <w:spacing w:after="0" w:line="240" w:lineRule="auto"/>
    </w:pPr>
    <w:rPr>
      <w:rFonts w:asciiTheme="minorHAnsi" w:eastAsiaTheme="minorHAnsi" w:hAnsiTheme="minorHAnsi" w:cstheme="minorBidi"/>
      <w:lang w:val="en-US" w:bidi="he-IL"/>
    </w:rPr>
  </w:style>
  <w:style w:type="character" w:customStyle="1" w:styleId="HeaderChar">
    <w:name w:val="Header Char"/>
    <w:basedOn w:val="DefaultParagraphFont"/>
    <w:link w:val="Header"/>
    <w:uiPriority w:val="99"/>
    <w:rsid w:val="00EE1D63"/>
  </w:style>
  <w:style w:type="paragraph" w:styleId="ListParagraph">
    <w:name w:val="List Paragraph"/>
    <w:basedOn w:val="Normal"/>
    <w:uiPriority w:val="34"/>
    <w:qFormat/>
    <w:rsid w:val="00EE1D63"/>
    <w:pPr>
      <w:ind w:left="720"/>
      <w:contextualSpacing/>
    </w:pPr>
    <w:rPr>
      <w:rFonts w:asciiTheme="minorHAnsi" w:eastAsiaTheme="minorHAnsi" w:hAnsiTheme="minorHAnsi" w:cstheme="minorBidi"/>
      <w:lang w:val="en-US" w:bidi="he-IL"/>
    </w:rPr>
  </w:style>
  <w:style w:type="character" w:styleId="CommentReference">
    <w:name w:val="annotation reference"/>
    <w:basedOn w:val="DefaultParagraphFont"/>
    <w:uiPriority w:val="99"/>
    <w:semiHidden/>
    <w:unhideWhenUsed/>
    <w:rsid w:val="00EE1D63"/>
    <w:rPr>
      <w:sz w:val="16"/>
      <w:szCs w:val="16"/>
    </w:rPr>
  </w:style>
  <w:style w:type="paragraph" w:styleId="CommentText">
    <w:name w:val="annotation text"/>
    <w:basedOn w:val="Normal"/>
    <w:link w:val="CommentTextChar"/>
    <w:uiPriority w:val="99"/>
    <w:semiHidden/>
    <w:unhideWhenUsed/>
    <w:rsid w:val="00EE1D63"/>
    <w:pPr>
      <w:spacing w:line="240" w:lineRule="auto"/>
    </w:pPr>
    <w:rPr>
      <w:rFonts w:asciiTheme="minorHAnsi" w:eastAsiaTheme="minorHAnsi" w:hAnsiTheme="minorHAnsi" w:cstheme="minorBidi"/>
      <w:sz w:val="20"/>
      <w:szCs w:val="20"/>
      <w:lang w:val="en-US" w:bidi="he-IL"/>
    </w:rPr>
  </w:style>
  <w:style w:type="character" w:customStyle="1" w:styleId="CommentTextChar">
    <w:name w:val="Comment Text Char"/>
    <w:basedOn w:val="DefaultParagraphFont"/>
    <w:link w:val="CommentText"/>
    <w:uiPriority w:val="99"/>
    <w:semiHidden/>
    <w:rsid w:val="00EE1D63"/>
    <w:rPr>
      <w:sz w:val="20"/>
      <w:szCs w:val="20"/>
    </w:rPr>
  </w:style>
  <w:style w:type="paragraph" w:styleId="CommentSubject">
    <w:name w:val="annotation subject"/>
    <w:basedOn w:val="CommentText"/>
    <w:next w:val="CommentText"/>
    <w:link w:val="CommentSubjectChar"/>
    <w:uiPriority w:val="99"/>
    <w:semiHidden/>
    <w:unhideWhenUsed/>
    <w:rsid w:val="00EE1D63"/>
    <w:rPr>
      <w:b/>
      <w:bCs/>
    </w:rPr>
  </w:style>
  <w:style w:type="character" w:customStyle="1" w:styleId="CommentSubjectChar">
    <w:name w:val="Comment Subject Char"/>
    <w:basedOn w:val="CommentTextChar"/>
    <w:link w:val="CommentSubject"/>
    <w:uiPriority w:val="99"/>
    <w:semiHidden/>
    <w:rsid w:val="00EE1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2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a.ac.za/cmsys/staff/contents/resources/images/staff-online-UNISA-logo.jpg" TargetMode="External"/><Relationship Id="rId13" Type="http://schemas.openxmlformats.org/officeDocument/2006/relationships/hyperlink" Target="mailto:odhianm@unisa.ac.za%20/%20nmbaya99@yahoo.com%20%20" TargetMode="External"/><Relationship Id="rId18"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mailto:niykeb@unisa.ac.za"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nitoflex@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image" Target="http://www.unisa.ac.za/cmsys/staff/contents/resources/images/staff-online-UNISA-logo.gif"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2" Type="http://schemas.openxmlformats.org/officeDocument/2006/relationships/hyperlink" Target="mailto:niykeb@unisa.ac.za" TargetMode="External"/><Relationship Id="rId1" Type="http://schemas.openxmlformats.org/officeDocument/2006/relationships/hyperlink" Target="mailto:benitoflex@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iykeb\Desktop\Submitted%20Papers\Paper%20III\BOT\Paper%20II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Pula-REER</c:v>
                </c:pt>
              </c:strCache>
            </c:strRef>
          </c:tx>
          <c:spPr>
            <a:ln w="22225"/>
          </c:spPr>
          <c:marker>
            <c:symbol val="none"/>
          </c:marker>
          <c:cat>
            <c:numRef>
              <c:f>Sheet1!$A$2:$A$39</c:f>
              <c:numCache>
                <c:formatCode>General</c:formatCode>
                <c:ptCount val="38"/>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pt idx="37">
                  <c:v>2012</c:v>
                </c:pt>
              </c:numCache>
            </c:numRef>
          </c:cat>
          <c:val>
            <c:numRef>
              <c:f>Sheet1!$B$2:$B$39</c:f>
              <c:numCache>
                <c:formatCode>General</c:formatCode>
                <c:ptCount val="38"/>
                <c:pt idx="0">
                  <c:v>107.5</c:v>
                </c:pt>
                <c:pt idx="1">
                  <c:v>106</c:v>
                </c:pt>
                <c:pt idx="2">
                  <c:v>111.8</c:v>
                </c:pt>
                <c:pt idx="3">
                  <c:v>109.8</c:v>
                </c:pt>
                <c:pt idx="4">
                  <c:v>106.6</c:v>
                </c:pt>
                <c:pt idx="5">
                  <c:v>105.1</c:v>
                </c:pt>
                <c:pt idx="6">
                  <c:v>113.1</c:v>
                </c:pt>
                <c:pt idx="7">
                  <c:v>108.8</c:v>
                </c:pt>
                <c:pt idx="8">
                  <c:v>108.1</c:v>
                </c:pt>
                <c:pt idx="9">
                  <c:v>112.7</c:v>
                </c:pt>
                <c:pt idx="10">
                  <c:v>97.7</c:v>
                </c:pt>
                <c:pt idx="11">
                  <c:v>92.6</c:v>
                </c:pt>
                <c:pt idx="12">
                  <c:v>91.5</c:v>
                </c:pt>
                <c:pt idx="13">
                  <c:v>87.5</c:v>
                </c:pt>
                <c:pt idx="14">
                  <c:v>89.4</c:v>
                </c:pt>
                <c:pt idx="15">
                  <c:v>93.4</c:v>
                </c:pt>
                <c:pt idx="16">
                  <c:v>90.6</c:v>
                </c:pt>
                <c:pt idx="17">
                  <c:v>93.3</c:v>
                </c:pt>
                <c:pt idx="18">
                  <c:v>98.2</c:v>
                </c:pt>
                <c:pt idx="19">
                  <c:v>96.5</c:v>
                </c:pt>
                <c:pt idx="20">
                  <c:v>96.4</c:v>
                </c:pt>
                <c:pt idx="21">
                  <c:v>93.9</c:v>
                </c:pt>
                <c:pt idx="22">
                  <c:v>93.2</c:v>
                </c:pt>
                <c:pt idx="23">
                  <c:v>92.7</c:v>
                </c:pt>
                <c:pt idx="24">
                  <c:v>94.3</c:v>
                </c:pt>
                <c:pt idx="25">
                  <c:v>99.4</c:v>
                </c:pt>
                <c:pt idx="26">
                  <c:v>103.2</c:v>
                </c:pt>
                <c:pt idx="27">
                  <c:v>108.7</c:v>
                </c:pt>
                <c:pt idx="28">
                  <c:v>113.5</c:v>
                </c:pt>
                <c:pt idx="29">
                  <c:v>110.7</c:v>
                </c:pt>
                <c:pt idx="30">
                  <c:v>106.1</c:v>
                </c:pt>
                <c:pt idx="31">
                  <c:v>103.5</c:v>
                </c:pt>
                <c:pt idx="32">
                  <c:v>100</c:v>
                </c:pt>
                <c:pt idx="33">
                  <c:v>103</c:v>
                </c:pt>
                <c:pt idx="34">
                  <c:v>106.3</c:v>
                </c:pt>
                <c:pt idx="35">
                  <c:v>105.6</c:v>
                </c:pt>
                <c:pt idx="36">
                  <c:v>106.6</c:v>
                </c:pt>
                <c:pt idx="37">
                  <c:v>107.9</c:v>
                </c:pt>
              </c:numCache>
            </c:numRef>
          </c:val>
          <c:smooth val="0"/>
        </c:ser>
        <c:ser>
          <c:idx val="1"/>
          <c:order val="1"/>
          <c:tx>
            <c:strRef>
              <c:f>Sheet1!$C$1</c:f>
              <c:strCache>
                <c:ptCount val="1"/>
                <c:pt idx="0">
                  <c:v>Rand-REER</c:v>
                </c:pt>
              </c:strCache>
            </c:strRef>
          </c:tx>
          <c:spPr>
            <a:ln w="22225"/>
          </c:spPr>
          <c:marker>
            <c:symbol val="none"/>
          </c:marker>
          <c:cat>
            <c:numRef>
              <c:f>Sheet1!$A$2:$A$39</c:f>
              <c:numCache>
                <c:formatCode>General</c:formatCode>
                <c:ptCount val="38"/>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pt idx="37">
                  <c:v>2012</c:v>
                </c:pt>
              </c:numCache>
            </c:numRef>
          </c:cat>
          <c:val>
            <c:numRef>
              <c:f>Sheet1!$C$2:$C$39</c:f>
              <c:numCache>
                <c:formatCode>General</c:formatCode>
                <c:ptCount val="38"/>
                <c:pt idx="0">
                  <c:v>131.57377349999999</c:v>
                </c:pt>
                <c:pt idx="1">
                  <c:v>120.5435937</c:v>
                </c:pt>
                <c:pt idx="2">
                  <c:v>120.4380494</c:v>
                </c:pt>
                <c:pt idx="3">
                  <c:v>113.2882221</c:v>
                </c:pt>
                <c:pt idx="4">
                  <c:v>140.57533810000001</c:v>
                </c:pt>
                <c:pt idx="5">
                  <c:v>153.69878080000001</c:v>
                </c:pt>
                <c:pt idx="6">
                  <c:v>161.70884760000001</c:v>
                </c:pt>
                <c:pt idx="7">
                  <c:v>153.20877669999999</c:v>
                </c:pt>
                <c:pt idx="8">
                  <c:v>168.6239052</c:v>
                </c:pt>
                <c:pt idx="9">
                  <c:v>148.73707279999999</c:v>
                </c:pt>
                <c:pt idx="10">
                  <c:v>112.9609413</c:v>
                </c:pt>
                <c:pt idx="11">
                  <c:v>104.278369</c:v>
                </c:pt>
                <c:pt idx="12">
                  <c:v>117.7009808</c:v>
                </c:pt>
                <c:pt idx="13">
                  <c:v>111.15092629999999</c:v>
                </c:pt>
                <c:pt idx="14">
                  <c:v>111.6017633</c:v>
                </c:pt>
                <c:pt idx="15">
                  <c:v>114.74012279999999</c:v>
                </c:pt>
                <c:pt idx="16">
                  <c:v>119.4234952</c:v>
                </c:pt>
                <c:pt idx="17">
                  <c:v>123.3910283</c:v>
                </c:pt>
                <c:pt idx="18">
                  <c:v>121.0943425</c:v>
                </c:pt>
                <c:pt idx="19">
                  <c:v>115.9176326</c:v>
                </c:pt>
                <c:pt idx="20">
                  <c:v>112.6701056</c:v>
                </c:pt>
                <c:pt idx="21">
                  <c:v>103.7241977</c:v>
                </c:pt>
                <c:pt idx="22">
                  <c:v>109.52591270000001</c:v>
                </c:pt>
                <c:pt idx="23">
                  <c:v>100.5666714</c:v>
                </c:pt>
                <c:pt idx="24">
                  <c:v>95.149959580000001</c:v>
                </c:pt>
                <c:pt idx="25">
                  <c:v>92.057433810000006</c:v>
                </c:pt>
                <c:pt idx="26">
                  <c:v>81.303177529999999</c:v>
                </c:pt>
                <c:pt idx="27">
                  <c:v>69.456412139999998</c:v>
                </c:pt>
                <c:pt idx="28">
                  <c:v>90.235751960000002</c:v>
                </c:pt>
                <c:pt idx="29">
                  <c:v>97.564979710000003</c:v>
                </c:pt>
                <c:pt idx="30">
                  <c:v>98.898324149999993</c:v>
                </c:pt>
                <c:pt idx="31">
                  <c:v>94.949124580000003</c:v>
                </c:pt>
                <c:pt idx="32">
                  <c:v>89.269910580000001</c:v>
                </c:pt>
                <c:pt idx="33">
                  <c:v>79.438161980000004</c:v>
                </c:pt>
                <c:pt idx="34">
                  <c:v>86.589054910000002</c:v>
                </c:pt>
                <c:pt idx="35">
                  <c:v>100</c:v>
                </c:pt>
                <c:pt idx="36">
                  <c:v>97.919982669999996</c:v>
                </c:pt>
                <c:pt idx="37">
                  <c:v>92.590771590000003</c:v>
                </c:pt>
              </c:numCache>
            </c:numRef>
          </c:val>
          <c:smooth val="0"/>
        </c:ser>
        <c:dLbls>
          <c:showLegendKey val="0"/>
          <c:showVal val="0"/>
          <c:showCatName val="0"/>
          <c:showSerName val="0"/>
          <c:showPercent val="0"/>
          <c:showBubbleSize val="0"/>
        </c:dLbls>
        <c:marker val="1"/>
        <c:smooth val="0"/>
        <c:axId val="198641536"/>
        <c:axId val="198656384"/>
      </c:lineChart>
      <c:catAx>
        <c:axId val="198641536"/>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198656384"/>
        <c:crosses val="autoZero"/>
        <c:auto val="1"/>
        <c:lblAlgn val="ctr"/>
        <c:lblOffset val="100"/>
        <c:noMultiLvlLbl val="0"/>
      </c:catAx>
      <c:valAx>
        <c:axId val="198656384"/>
        <c:scaling>
          <c:orientation val="minMax"/>
        </c:scaling>
        <c:delete val="0"/>
        <c:axPos val="l"/>
        <c:title>
          <c:tx>
            <c:rich>
              <a:bodyPr rot="-5400000" vert="horz"/>
              <a:lstStyle/>
              <a:p>
                <a:pPr>
                  <a:defRPr/>
                </a:pPr>
                <a:r>
                  <a:rPr lang="en-US" sz="1100" b="0">
                    <a:latin typeface="Times New Roman" panose="02020603050405020304" pitchFamily="18" charset="0"/>
                    <a:cs typeface="Times New Roman" panose="02020603050405020304" pitchFamily="18" charset="0"/>
                  </a:rPr>
                  <a:t>Real</a:t>
                </a:r>
                <a:r>
                  <a:rPr lang="en-US" sz="1100" b="0" baseline="0">
                    <a:latin typeface="Times New Roman" panose="02020603050405020304" pitchFamily="18" charset="0"/>
                    <a:cs typeface="Times New Roman" panose="02020603050405020304" pitchFamily="18" charset="0"/>
                  </a:rPr>
                  <a:t> Effective Exchange Rate</a:t>
                </a:r>
                <a:endParaRPr lang="en-US" sz="1100" b="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198641536"/>
        <c:crosses val="autoZero"/>
        <c:crossBetween val="between"/>
      </c:valAx>
    </c:plotArea>
    <c:legend>
      <c:legendPos val="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6441</Words>
  <Characters>36717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43072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Njindan Iyke, Bernard</dc:creator>
  <cp:lastModifiedBy>Gwenhure Yvonne</cp:lastModifiedBy>
  <cp:revision>2</cp:revision>
  <cp:lastPrinted>2015-08-13T09:32:00Z</cp:lastPrinted>
  <dcterms:created xsi:type="dcterms:W3CDTF">2016-04-11T14:19:00Z</dcterms:created>
  <dcterms:modified xsi:type="dcterms:W3CDTF">2016-04-11T14:19:00Z</dcterms:modified>
</cp:coreProperties>
</file>